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5F15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This case study is part of DEAL's </w:t>
      </w:r>
      <w:r>
        <w:rPr>
          <w:rFonts w:hint="default" w:ascii="sans-serif" w:hAnsi="sans-serif" w:eastAsia="sans-serif" w:cs="sans-serif"/>
          <w:i w:val="0"/>
          <w:iCs w:val="0"/>
          <w:caps w:val="0"/>
          <w:spacing w:val="0"/>
          <w:sz w:val="32"/>
          <w:szCs w:val="32"/>
          <w:u w:val="single"/>
          <w:bdr w:val="none" w:color="auto" w:sz="0" w:space="0"/>
        </w:rPr>
        <w:fldChar w:fldCharType="begin"/>
      </w:r>
      <w:r>
        <w:rPr>
          <w:rFonts w:hint="default" w:ascii="sans-serif" w:hAnsi="sans-serif" w:eastAsia="sans-serif" w:cs="sans-serif"/>
          <w:i w:val="0"/>
          <w:iCs w:val="0"/>
          <w:caps w:val="0"/>
          <w:spacing w:val="0"/>
          <w:sz w:val="32"/>
          <w:szCs w:val="32"/>
          <w:u w:val="single"/>
          <w:bdr w:val="none" w:color="auto" w:sz="0" w:space="0"/>
        </w:rPr>
        <w:instrText xml:space="preserve"> HYPERLINK "https://doughnuteconomics.org/tools/cities-regions-let-s-get-started-4-languages" </w:instrText>
      </w:r>
      <w:r>
        <w:rPr>
          <w:rFonts w:hint="default" w:ascii="sans-serif" w:hAnsi="sans-serif" w:eastAsia="sans-serif" w:cs="sans-serif"/>
          <w:i w:val="0"/>
          <w:iCs w:val="0"/>
          <w:caps w:val="0"/>
          <w:spacing w:val="0"/>
          <w:sz w:val="32"/>
          <w:szCs w:val="32"/>
          <w:u w:val="single"/>
          <w:bdr w:val="none" w:color="auto" w:sz="0" w:space="0"/>
        </w:rPr>
        <w:fldChar w:fldCharType="separate"/>
      </w:r>
      <w:r>
        <w:rPr>
          <w:rStyle w:val="8"/>
          <w:rFonts w:hint="default" w:ascii="sans-serif" w:hAnsi="sans-serif" w:eastAsia="sans-serif" w:cs="sans-serif"/>
          <w:i w:val="0"/>
          <w:iCs w:val="0"/>
          <w:caps w:val="0"/>
          <w:spacing w:val="0"/>
          <w:sz w:val="32"/>
          <w:szCs w:val="32"/>
          <w:u w:val="single"/>
          <w:bdr w:val="none" w:color="auto" w:sz="0" w:space="0"/>
        </w:rPr>
        <w:t>Cities &amp; Regions: Let's Get Started</w:t>
      </w:r>
      <w:r>
        <w:rPr>
          <w:rFonts w:hint="default" w:ascii="sans-serif" w:hAnsi="sans-serif" w:eastAsia="sans-serif" w:cs="sans-serif"/>
          <w:i w:val="0"/>
          <w:iCs w:val="0"/>
          <w:caps w:val="0"/>
          <w:spacing w:val="0"/>
          <w:sz w:val="32"/>
          <w:szCs w:val="32"/>
          <w:u w:val="single"/>
          <w:bdr w:val="none" w:color="auto" w:sz="0" w:space="0"/>
        </w:rPr>
        <w:fldChar w:fldCharType="end"/>
      </w:r>
      <w:r>
        <w:rPr>
          <w:rFonts w:hint="default" w:ascii="sans-serif" w:hAnsi="sans-serif" w:eastAsia="sans-serif" w:cs="sans-serif"/>
          <w:i w:val="0"/>
          <w:iCs w:val="0"/>
          <w:caps w:val="0"/>
          <w:color w:val="212529"/>
          <w:spacing w:val="0"/>
          <w:sz w:val="32"/>
          <w:szCs w:val="32"/>
          <w:u w:val="none"/>
          <w:bdr w:val="none" w:color="auto" w:sz="0" w:space="0"/>
        </w:rPr>
        <w:t> guide for local governments, where you can find other case studies as well.  </w:t>
      </w:r>
      <w:r>
        <w:rPr>
          <w:rFonts w:hint="default" w:ascii="sans-serif" w:hAnsi="sans-serif" w:eastAsia="sans-serif" w:cs="sans-serif"/>
          <w:i w:val="0"/>
          <w:iCs w:val="0"/>
          <w:caps w:val="0"/>
          <w:color w:val="212529"/>
          <w:spacing w:val="0"/>
          <w:sz w:val="32"/>
          <w:szCs w:val="32"/>
          <w:u w:val="none"/>
          <w:bdr w:val="none" w:color="auto" w:sz="0" w:space="0"/>
        </w:rPr>
        <w:br w:type="textWrapping"/>
      </w:r>
      <w:r>
        <w:rPr>
          <w:rFonts w:hint="default" w:ascii="sans-serif" w:hAnsi="sans-serif" w:eastAsia="sans-serif" w:cs="sans-serif"/>
          <w:i w:val="0"/>
          <w:iCs w:val="0"/>
          <w:caps w:val="0"/>
          <w:color w:val="212529"/>
          <w:spacing w:val="0"/>
          <w:sz w:val="32"/>
          <w:szCs w:val="32"/>
          <w:u w:val="none"/>
          <w:bdr w:val="none" w:color="auto" w:sz="0" w:space="0"/>
        </w:rPr>
        <w:t>The material for the story was contributed by  Jane Cox and Emma Williamson (Cornwall County Council), and published in 2024. </w:t>
      </w:r>
      <w:r>
        <w:rPr>
          <w:rFonts w:hint="default" w:ascii="sans-serif" w:hAnsi="sans-serif" w:eastAsia="sans-serif" w:cs="sans-serif"/>
          <w:i w:val="0"/>
          <w:iCs w:val="0"/>
          <w:caps w:val="0"/>
          <w:color w:val="212529"/>
          <w:spacing w:val="0"/>
          <w:sz w:val="32"/>
          <w:szCs w:val="32"/>
          <w:u w:val="none"/>
          <w:bdr w:val="none" w:color="auto" w:sz="0" w:space="0"/>
        </w:rPr>
        <w:br w:type="textWrapping"/>
      </w:r>
      <w:r>
        <w:rPr>
          <w:rFonts w:hint="default" w:ascii="sans-serif" w:hAnsi="sans-serif" w:eastAsia="sans-serif" w:cs="sans-serif"/>
          <w:i w:val="0"/>
          <w:iCs w:val="0"/>
          <w:caps w:val="0"/>
          <w:color w:val="212529"/>
          <w:spacing w:val="0"/>
          <w:sz w:val="32"/>
          <w:szCs w:val="32"/>
          <w:u w:val="none"/>
          <w:bdr w:val="none" w:color="auto" w:sz="0" w:space="0"/>
        </w:rPr>
        <w:br w:type="textWrapping"/>
      </w:r>
      <w:r>
        <w:rPr>
          <w:rFonts w:hint="default" w:ascii="sans-serif" w:hAnsi="sans-serif" w:eastAsia="sans-serif" w:cs="sans-serif"/>
          <w:i w:val="0"/>
          <w:iCs w:val="0"/>
          <w:caps w:val="0"/>
          <w:color w:val="212529"/>
          <w:spacing w:val="0"/>
          <w:sz w:val="32"/>
          <w:szCs w:val="32"/>
          <w:u w:val="none"/>
          <w:bdr w:val="none" w:color="auto" w:sz="0" w:space="0"/>
        </w:rPr>
        <w:t>Scroll down or click on the right for versions in Spanish, French and Brazilian Portuguese. </w:t>
      </w:r>
    </w:p>
    <w:p w14:paraId="75E8578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960" w:lineRule="atLeast"/>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Cornwall's story (in English) </w:t>
      </w:r>
    </w:p>
    <w:p w14:paraId="45CBEC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Style w:val="7"/>
          <w:rFonts w:hint="default" w:ascii="sans-serif" w:hAnsi="sans-serif" w:eastAsia="sans-serif" w:cs="sans-serif"/>
          <w:b/>
          <w:bCs/>
          <w:i w:val="0"/>
          <w:iCs w:val="0"/>
          <w:caps w:val="0"/>
          <w:color w:val="212529"/>
          <w:spacing w:val="0"/>
          <w:sz w:val="32"/>
          <w:szCs w:val="32"/>
          <w:u w:val="none"/>
          <w:bdr w:val="none" w:color="auto" w:sz="0" w:space="0"/>
        </w:rPr>
        <w:t>Cornwall was one of the first places to base some of their work on Doughnut Economics in 2019. In 2020, they developed the Cornwall Development and Decision Wheel based on the Doughnut, a Council-wide impact assessment tool which is used to assess the positive and negative impacts of a proposed decision or policy. This work was further developed in 2023, with the creation of the Cornwall Plan Annual Review dashboard, an interactive dashboard visualising Cornwall's progress towards achieving the objectives set out in the partnership-led Cornwall Plan.</w:t>
      </w:r>
    </w:p>
    <w:p w14:paraId="16F17A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About the place</w:t>
      </w:r>
    </w:p>
    <w:p w14:paraId="3A8F03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Situated in the South-West of the UK, Cornwall is a mostly rural area with a population of 570,000. The Cornish have a distinct cultural identity, and their own language. Cornwall’s industries rely on its natural resources: three quarters agricultural land, over 400 miles of coastline with thriving tourism and ambitions to progress Floating Offshore Wind (FLOW); and a wealth of metals and minerals below the surface. Cornwall is also the home of the UK’s first licensed spaceport, Spaceport Cornwall.</w:t>
      </w:r>
    </w:p>
    <w:p w14:paraId="70CC11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Why Doughnut Economics</w:t>
      </w:r>
    </w:p>
    <w:p w14:paraId="22A0466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Following their declaration of a climate emergency in January 2019, Cornwall’s Carbon Neutral Cornwall Action Plan provided a clear steer that environmental assessments should be carried out as part of the Council’s decision-making processes and that all decision-making pertaining to climate change mitigation should also look to drive increases in social justice. The Doughnut model was suggested as a way to achieve this.</w:t>
      </w:r>
    </w:p>
    <w:p w14:paraId="677901B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p>
    <w:p w14:paraId="106AB81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Lead departments, organisations or partners</w:t>
      </w:r>
    </w:p>
    <w:p w14:paraId="6F09118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As the decision wheel was developed, key senior leaders championed the work – namely the Chief Executive, the then Leader and the Portfolio Holder for Climate Change – and there was widespread support across the Council for this new approach to decision-making. The work is led by the Strategy and Policy team within the Strategy and Business Planning Service, with support from colleagues in the Carbon Neutral team. It continues to be championed by senior leaders and elected members.</w:t>
      </w:r>
    </w:p>
    <w:p w14:paraId="77821C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Who else has been involved</w:t>
      </w:r>
    </w:p>
    <w:p w14:paraId="6EC7DF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The Decision Wheel was developed in-house. The core team worked with members, staff and wider partners and stakeholders to generate the methodology for the decision wheel.</w:t>
      </w:r>
    </w:p>
    <w:p w14:paraId="19A87DA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Journey to date</w:t>
      </w:r>
    </w:p>
    <w:p w14:paraId="36DE6C3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Following the Council’s declaration of a climate emergency in January 2019 and a steer towards the need to look at social justice alongside climate change mitigation, the Council developed a tool – the Climate Change Decision Wheel – to ensure these factors are embedded in decision-making with Doughnut Economics at the core, adapted to fit local context. The tool was later expanded to include the Equality and Inclusion wheel. </w:t>
      </w:r>
    </w:p>
    <w:p w14:paraId="3931B7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The tool is web-based and accessible to all council staff. The team developing the tool engaged with managers across the organisation to co-design the assessment questions for each of the social and ecological dimensions. </w:t>
      </w:r>
    </w:p>
    <w:p w14:paraId="7A02DB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Once the CDDW was introduced, a Steering Group was established to help guide initial application of the tool with training and support put in place for key officers and decision-makers. It was initially used for Cabinet decisions from 2019 and then expanded to all decision-making processes from 2021. The tool is now used as part of all strategy, policy and project development. Some of the examples where the CDDW has been used include, for e.g. Mid-Cornwall Metro Project and the Cornwall Electric Vehicle Infrastructure Strategy. In early 2024, a review of the use of the CDDW was conducted resulting in an action plan with recommendations for improvement. Work has also been done to develop a method to review the cumulative impact of multiple interventions.</w:t>
      </w:r>
    </w:p>
    <w:p w14:paraId="27FAB7F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Building onto this work, the Cornwall Plan Annual Review dashboard was developed. The Cornwall Plan 2020-2050 is the Cornwall and Isles of Scilly (CIOS) Leadership Board’s shared vision.The Plan was refreshed in 2023, and a new approach to measuring progress was adopted, modelled on the CDDW and rooted in Doughnut Economics. The dashboard shows how the Cornwall Plan is performing against the Doughnut’s social (fairer, more inclusive Cornwall) and planetary (greener, cleaner Cornwall) boundaries. The Cornwall Doughnut offers a snapshot of how Cornwall is performing in each area, using the outcomes set in the Cornwall Plan. The Cornwall Plan Doughnut is not a comprehensive assessment of Cornwall but serves as a starting point for big-picture thinking, co-creative innovation and systemic transformation. The Doughnut will support Cornwall’s leadership in seeking holistic reflection on Cornwall’s ambitions and driving meaningful change. </w:t>
      </w:r>
    </w:p>
    <w:p w14:paraId="7662160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Key outcomes </w:t>
      </w:r>
    </w:p>
    <w:p w14:paraId="6312D90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1) </w:t>
      </w:r>
      <w:r>
        <w:rPr>
          <w:rFonts w:hint="default" w:ascii="sans-serif" w:hAnsi="sans-serif" w:eastAsia="sans-serif" w:cs="sans-serif"/>
          <w:i w:val="0"/>
          <w:iCs w:val="0"/>
          <w:caps w:val="0"/>
          <w:spacing w:val="0"/>
          <w:sz w:val="32"/>
          <w:szCs w:val="32"/>
          <w:u w:val="single"/>
          <w:bdr w:val="none" w:color="auto" w:sz="0" w:space="0"/>
        </w:rPr>
        <w:fldChar w:fldCharType="begin"/>
      </w:r>
      <w:r>
        <w:rPr>
          <w:rFonts w:hint="default" w:ascii="sans-serif" w:hAnsi="sans-serif" w:eastAsia="sans-serif" w:cs="sans-serif"/>
          <w:i w:val="0"/>
          <w:iCs w:val="0"/>
          <w:caps w:val="0"/>
          <w:spacing w:val="0"/>
          <w:sz w:val="32"/>
          <w:szCs w:val="32"/>
          <w:u w:val="single"/>
          <w:bdr w:val="none" w:color="auto" w:sz="0" w:space="0"/>
        </w:rPr>
        <w:instrText xml:space="preserve"> HYPERLINK "https://www.cornwall.gov.uk/people-and-communities/equality-and-diversity/assessing-the-impact-of-our-decisions/" </w:instrText>
      </w:r>
      <w:r>
        <w:rPr>
          <w:rFonts w:hint="default" w:ascii="sans-serif" w:hAnsi="sans-serif" w:eastAsia="sans-serif" w:cs="sans-serif"/>
          <w:i w:val="0"/>
          <w:iCs w:val="0"/>
          <w:caps w:val="0"/>
          <w:spacing w:val="0"/>
          <w:sz w:val="32"/>
          <w:szCs w:val="32"/>
          <w:u w:val="single"/>
          <w:bdr w:val="none" w:color="auto" w:sz="0" w:space="0"/>
        </w:rPr>
        <w:fldChar w:fldCharType="separate"/>
      </w:r>
      <w:r>
        <w:rPr>
          <w:rStyle w:val="8"/>
          <w:rFonts w:hint="default" w:ascii="sans-serif" w:hAnsi="sans-serif" w:eastAsia="sans-serif" w:cs="sans-serif"/>
          <w:i w:val="0"/>
          <w:iCs w:val="0"/>
          <w:caps w:val="0"/>
          <w:spacing w:val="0"/>
          <w:sz w:val="32"/>
          <w:szCs w:val="32"/>
          <w:u w:val="single"/>
          <w:bdr w:val="none" w:color="auto" w:sz="0" w:space="0"/>
        </w:rPr>
        <w:t>Cornwall Development and Decision Wheel </w:t>
      </w:r>
      <w:r>
        <w:rPr>
          <w:rFonts w:hint="default" w:ascii="sans-serif" w:hAnsi="sans-serif" w:eastAsia="sans-serif" w:cs="sans-serif"/>
          <w:i w:val="0"/>
          <w:iCs w:val="0"/>
          <w:caps w:val="0"/>
          <w:spacing w:val="0"/>
          <w:sz w:val="32"/>
          <w:szCs w:val="32"/>
          <w:u w:val="single"/>
          <w:bdr w:val="none" w:color="auto" w:sz="0" w:space="0"/>
        </w:rPr>
        <w:fldChar w:fldCharType="end"/>
      </w:r>
    </w:p>
    <w:p w14:paraId="361B773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2) </w:t>
      </w:r>
      <w:r>
        <w:rPr>
          <w:rFonts w:hint="default" w:ascii="sans-serif" w:hAnsi="sans-serif" w:eastAsia="sans-serif" w:cs="sans-serif"/>
          <w:i w:val="0"/>
          <w:iCs w:val="0"/>
          <w:caps w:val="0"/>
          <w:spacing w:val="0"/>
          <w:sz w:val="32"/>
          <w:szCs w:val="32"/>
          <w:u w:val="single"/>
          <w:bdr w:val="none" w:color="auto" w:sz="0" w:space="0"/>
        </w:rPr>
        <w:fldChar w:fldCharType="begin"/>
      </w:r>
      <w:r>
        <w:rPr>
          <w:rFonts w:hint="default" w:ascii="sans-serif" w:hAnsi="sans-serif" w:eastAsia="sans-serif" w:cs="sans-serif"/>
          <w:i w:val="0"/>
          <w:iCs w:val="0"/>
          <w:caps w:val="0"/>
          <w:spacing w:val="0"/>
          <w:sz w:val="32"/>
          <w:szCs w:val="32"/>
          <w:u w:val="single"/>
          <w:bdr w:val="none" w:color="auto" w:sz="0" w:space="0"/>
        </w:rPr>
        <w:instrText xml:space="preserve"> HYPERLINK "https://letstalk.cornwall.gov.uk/cornwall-plan" </w:instrText>
      </w:r>
      <w:r>
        <w:rPr>
          <w:rFonts w:hint="default" w:ascii="sans-serif" w:hAnsi="sans-serif" w:eastAsia="sans-serif" w:cs="sans-serif"/>
          <w:i w:val="0"/>
          <w:iCs w:val="0"/>
          <w:caps w:val="0"/>
          <w:spacing w:val="0"/>
          <w:sz w:val="32"/>
          <w:szCs w:val="32"/>
          <w:u w:val="single"/>
          <w:bdr w:val="none" w:color="auto" w:sz="0" w:space="0"/>
        </w:rPr>
        <w:fldChar w:fldCharType="separate"/>
      </w:r>
      <w:r>
        <w:rPr>
          <w:rStyle w:val="8"/>
          <w:rFonts w:hint="default" w:ascii="sans-serif" w:hAnsi="sans-serif" w:eastAsia="sans-serif" w:cs="sans-serif"/>
          <w:i w:val="0"/>
          <w:iCs w:val="0"/>
          <w:caps w:val="0"/>
          <w:spacing w:val="0"/>
          <w:sz w:val="32"/>
          <w:szCs w:val="32"/>
          <w:u w:val="single"/>
          <w:bdr w:val="none" w:color="auto" w:sz="0" w:space="0"/>
        </w:rPr>
        <w:t>The Cornwall Plan Doughnut (for the Cornwall Plan 2020-2050) </w:t>
      </w:r>
      <w:r>
        <w:rPr>
          <w:rFonts w:hint="default" w:ascii="sans-serif" w:hAnsi="sans-serif" w:eastAsia="sans-serif" w:cs="sans-serif"/>
          <w:i w:val="0"/>
          <w:iCs w:val="0"/>
          <w:caps w:val="0"/>
          <w:spacing w:val="0"/>
          <w:sz w:val="32"/>
          <w:szCs w:val="32"/>
          <w:u w:val="single"/>
          <w:bdr w:val="none" w:color="auto" w:sz="0" w:space="0"/>
        </w:rPr>
        <w:fldChar w:fldCharType="end"/>
      </w:r>
    </w:p>
    <w:p w14:paraId="78BA877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3) </w:t>
      </w:r>
      <w:r>
        <w:rPr>
          <w:rFonts w:hint="default" w:ascii="sans-serif" w:hAnsi="sans-serif" w:eastAsia="sans-serif" w:cs="sans-serif"/>
          <w:i w:val="0"/>
          <w:iCs w:val="0"/>
          <w:caps w:val="0"/>
          <w:spacing w:val="0"/>
          <w:sz w:val="32"/>
          <w:szCs w:val="32"/>
          <w:u w:val="single"/>
          <w:bdr w:val="none" w:color="auto" w:sz="0" w:space="0"/>
        </w:rPr>
        <w:fldChar w:fldCharType="begin"/>
      </w:r>
      <w:r>
        <w:rPr>
          <w:rFonts w:hint="default" w:ascii="sans-serif" w:hAnsi="sans-serif" w:eastAsia="sans-serif" w:cs="sans-serif"/>
          <w:i w:val="0"/>
          <w:iCs w:val="0"/>
          <w:caps w:val="0"/>
          <w:spacing w:val="0"/>
          <w:sz w:val="32"/>
          <w:szCs w:val="32"/>
          <w:u w:val="single"/>
          <w:bdr w:val="none" w:color="auto" w:sz="0" w:space="0"/>
        </w:rPr>
        <w:instrText xml:space="preserve"> HYPERLINK "https://letstalk.cornwall.gov.uk/cornwall-plan/stories/cornwall-plan-annual-review-dashboard-2023" </w:instrText>
      </w:r>
      <w:r>
        <w:rPr>
          <w:rFonts w:hint="default" w:ascii="sans-serif" w:hAnsi="sans-serif" w:eastAsia="sans-serif" w:cs="sans-serif"/>
          <w:i w:val="0"/>
          <w:iCs w:val="0"/>
          <w:caps w:val="0"/>
          <w:spacing w:val="0"/>
          <w:sz w:val="32"/>
          <w:szCs w:val="32"/>
          <w:u w:val="single"/>
          <w:bdr w:val="none" w:color="auto" w:sz="0" w:space="0"/>
        </w:rPr>
        <w:fldChar w:fldCharType="separate"/>
      </w:r>
      <w:r>
        <w:rPr>
          <w:rStyle w:val="8"/>
          <w:rFonts w:hint="default" w:ascii="sans-serif" w:hAnsi="sans-serif" w:eastAsia="sans-serif" w:cs="sans-serif"/>
          <w:i w:val="0"/>
          <w:iCs w:val="0"/>
          <w:caps w:val="0"/>
          <w:spacing w:val="0"/>
          <w:sz w:val="32"/>
          <w:szCs w:val="32"/>
          <w:u w:val="single"/>
          <w:bdr w:val="none" w:color="auto" w:sz="0" w:space="0"/>
        </w:rPr>
        <w:t>Cornwall Plan Annual Review Dashboard </w:t>
      </w:r>
      <w:r>
        <w:rPr>
          <w:rFonts w:hint="default" w:ascii="sans-serif" w:hAnsi="sans-serif" w:eastAsia="sans-serif" w:cs="sans-serif"/>
          <w:i w:val="0"/>
          <w:iCs w:val="0"/>
          <w:caps w:val="0"/>
          <w:spacing w:val="0"/>
          <w:sz w:val="32"/>
          <w:szCs w:val="32"/>
          <w:u w:val="single"/>
          <w:bdr w:val="none" w:color="auto" w:sz="0" w:space="0"/>
        </w:rPr>
        <w:fldChar w:fldCharType="end"/>
      </w:r>
    </w:p>
    <w:p w14:paraId="423D65C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Key benefits</w:t>
      </w:r>
    </w:p>
    <w:p w14:paraId="5D4BF81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The CDDW has been extremely successful in shaping the future direction of the Council’s work. It is embedding a new way of thinking, helping people understand the interconnectedness of our lives with the environment in which we live by demonstrating the trade-offs between generating social, economic and environmental growth. It is focusing the resources of our decision-making structures onto the most relevant issues which now formally include the environment and our impact on it. It is helping to facilitate cross department working, breaking away from siloed thinking. </w:t>
      </w:r>
    </w:p>
    <w:p w14:paraId="5DF5055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Main challenges </w:t>
      </w:r>
    </w:p>
    <w:p w14:paraId="1254C7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Considerable resource and time needed to develop and embed the tool across the council. Some see it as an additional process, or at least initially, although this does decline with time and support. It is not always adopted early enough in project and policy planning to really help influence/drive thinking, though again that is improving over time as the CDDW becomes embedded. There are different views on impacts which need to be moderated; this can be difficult and time-consuming. </w:t>
      </w:r>
    </w:p>
    <w:p w14:paraId="38E57B2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Lessons learnt </w:t>
      </w:r>
    </w:p>
    <w:p w14:paraId="58ED9A8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It is important that anyone considering integrating such a process into decision making understands the resources and technical skills required, and take time considering what is achievable before they start out. Demands include the time and cost of developing the tool, as well as training and familiarisation sessions. To address this, we decided to deliver the training in an agile way, focusing on those likely to use the tool initially. It is vital to develop an internal communications plan to help make everyone aware of the reasons for the change and how the new decision-making process will work. Buy in from the highest levels within the Council is also essential to its success. Cornwall Council’s Chief Executive and senior leadership team are firm proponents of the use of the CDDW and this has helped in its widespread adoption. </w:t>
      </w:r>
    </w:p>
    <w:p w14:paraId="18F193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p>
    <w:p w14:paraId="5DFC66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To learn more </w:t>
      </w:r>
    </w:p>
    <w:p w14:paraId="2370840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spacing w:val="0"/>
          <w:sz w:val="32"/>
          <w:szCs w:val="32"/>
          <w:u w:val="single"/>
          <w:bdr w:val="none" w:color="auto" w:sz="0" w:space="0"/>
        </w:rPr>
        <w:fldChar w:fldCharType="begin"/>
      </w:r>
      <w:r>
        <w:rPr>
          <w:rFonts w:hint="default" w:ascii="sans-serif" w:hAnsi="sans-serif" w:eastAsia="sans-serif" w:cs="sans-serif"/>
          <w:i w:val="0"/>
          <w:iCs w:val="0"/>
          <w:caps w:val="0"/>
          <w:spacing w:val="0"/>
          <w:sz w:val="32"/>
          <w:szCs w:val="32"/>
          <w:u w:val="single"/>
          <w:bdr w:val="none" w:color="auto" w:sz="0" w:space="0"/>
        </w:rPr>
        <w:instrText xml:space="preserve"> HYPERLINK "https://vimeo.com/1003662211/1ba9eef30e?share=copy" </w:instrText>
      </w:r>
      <w:r>
        <w:rPr>
          <w:rFonts w:hint="default" w:ascii="sans-serif" w:hAnsi="sans-serif" w:eastAsia="sans-serif" w:cs="sans-serif"/>
          <w:i w:val="0"/>
          <w:iCs w:val="0"/>
          <w:caps w:val="0"/>
          <w:spacing w:val="0"/>
          <w:sz w:val="32"/>
          <w:szCs w:val="32"/>
          <w:u w:val="single"/>
          <w:bdr w:val="none" w:color="auto" w:sz="0" w:space="0"/>
        </w:rPr>
        <w:fldChar w:fldCharType="separate"/>
      </w:r>
      <w:r>
        <w:rPr>
          <w:rStyle w:val="8"/>
          <w:rFonts w:hint="default" w:ascii="sans-serif" w:hAnsi="sans-serif" w:eastAsia="sans-serif" w:cs="sans-serif"/>
          <w:i w:val="0"/>
          <w:iCs w:val="0"/>
          <w:caps w:val="0"/>
          <w:spacing w:val="0"/>
          <w:sz w:val="32"/>
          <w:szCs w:val="32"/>
          <w:u w:val="single"/>
          <w:bdr w:val="none" w:color="auto" w:sz="0" w:space="0"/>
        </w:rPr>
        <w:t>Video introduction of the CDDW</w:t>
      </w:r>
      <w:r>
        <w:rPr>
          <w:rFonts w:hint="default" w:ascii="sans-serif" w:hAnsi="sans-serif" w:eastAsia="sans-serif" w:cs="sans-serif"/>
          <w:i w:val="0"/>
          <w:iCs w:val="0"/>
          <w:caps w:val="0"/>
          <w:spacing w:val="0"/>
          <w:sz w:val="32"/>
          <w:szCs w:val="32"/>
          <w:u w:val="single"/>
          <w:bdr w:val="none" w:color="auto" w:sz="0" w:space="0"/>
        </w:rPr>
        <w:fldChar w:fldCharType="end"/>
      </w:r>
    </w:p>
    <w:p w14:paraId="46E7085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960" w:lineRule="atLeast"/>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La historia de Cornwall (en español)</w:t>
      </w:r>
    </w:p>
    <w:p w14:paraId="50BE6EC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Style w:val="7"/>
          <w:rFonts w:hint="default" w:ascii="sans-serif" w:hAnsi="sans-serif" w:eastAsia="sans-serif" w:cs="sans-serif"/>
          <w:b/>
          <w:bCs/>
          <w:i w:val="0"/>
          <w:iCs w:val="0"/>
          <w:caps w:val="0"/>
          <w:color w:val="212529"/>
          <w:spacing w:val="0"/>
          <w:sz w:val="32"/>
          <w:szCs w:val="32"/>
          <w:u w:val="none"/>
          <w:bdr w:val="none" w:color="auto" w:sz="0" w:space="0"/>
        </w:rPr>
        <w:t>Cornualles fue uno de los primeros lugares en basar parte de su trabajo en la Economía del Donut, en 2019. En 2020 se desarrolló el Timón de Decisiones y Desarrollo de Cornualles, una herramienta de evaluación basada en el Donut para toda la administración regional, que se usa para valorar los impactos positivos y negativos de una decisión o política propuesta. En 2023 se dio un paso más en este trabajo con la creación del Tablero de Revisión del Plan Anual de Cornualles, un tablero interactivo en el que se visualizan los progresos de Cornualles hacia los objetivos establecidos en el Plan de Cornualles creado en colaboración.</w:t>
      </w:r>
    </w:p>
    <w:p w14:paraId="2433FB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Características del lugar</w:t>
      </w:r>
    </w:p>
    <w:p w14:paraId="5EB5B1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Situada al Suroeste del Reino Unido, Cornualles es una región básicamente rural, con una población de 570.000 habitantes. La población de Cornualles tiene su propia identidad cultural diferenciada y su propia lengua. La industria en Cornualles se deriva de sus recursos naturales: el 75% de tierras agrícolas y unos 650 km de costas, con un turismo floreciente y con esperanzas en los parques eólicos marinos flotantes; y con grandes riquezas en metales y minerales en el subsuelo. Cornualles alberga igualmente la primera base espacial británica acreditada: Spaceport Cornwall.</w:t>
      </w:r>
    </w:p>
    <w:p w14:paraId="58EE63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Por qué la Economía del Donut</w:t>
      </w:r>
    </w:p>
    <w:p w14:paraId="632B4B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Después de declarar la emergencia climática en enero de 2019, el Plan de Acción por la Neutralidad de Carbono de Cornualles estableció unas directrices claras: se debían llevar a cabo evaluaciones ambientales en el marco de los procesos de toma de decisiones del consejo regional y, por otra parte, todas las decisiones relacionadas con la mitigación del cambio climático deberán procurar impulsar mejoras de justicia social. Se sugirió el modelo del Donut como una forma de lograr tal fin.</w:t>
      </w:r>
    </w:p>
    <w:p w14:paraId="39D5125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p>
    <w:p w14:paraId="0DA4B2B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Departamentos, organizaciones o entidades socias responsables</w:t>
      </w:r>
    </w:p>
    <w:p w14:paraId="14B130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Cuando se desarrolló el Timón de Decisiones, impulsaron el trabajo algunos miembros clave del liderazgo sénior, en particular el funcionario jefe de la administración regional, el entonces presidente regional y el titular de la cartera de Cambio Climático, y en todo el Consejo Regional se apoyó este nuevo enfoque de la toma de decisiones. Encabeza el trabajo el equipo de Estrategia y Políticas, dependiente del Servicio de Estrategia y Planificación Empresarial, con apoyo del equipo de Neutralidad de Carbono. La tarea sigue siendo impulsada por la directiva administrativa y los miembros electos.</w:t>
      </w:r>
    </w:p>
    <w:p w14:paraId="151DFD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Otras entidades participantes</w:t>
      </w:r>
    </w:p>
    <w:p w14:paraId="66C5851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El Timón de Decisiones se desarrolló a nivel interno. Para generar su metodología, el equipo principal colaboró con otros miembros, personal y otros socios y partes interesadas.</w:t>
      </w:r>
    </w:p>
    <w:p w14:paraId="019B5A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Travesía hasta la fecha</w:t>
      </w:r>
    </w:p>
    <w:p w14:paraId="3CDDB98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Después de que el Consejo Regional declarase la emergencia climática en enero de 2019, y la necesidad de tener en cuenta la justicia social junto con la mitigación del cambio climático, se desarrolló una herramienta —el Timón de Decisiones Climáticas— para asegurar que se integraban dichos factores en la toma de decisiones, en base a la Economía del Donut adaptada al contexto local. Más tarde se amplió la herramienta para incluir el Timón de Igualdad e Inclusión. La herramienta funciona en línea y es accesible para todo el personal de la administración regional. El equipo que desarrolló la herramienta colaboró con las y los responsables de todos los departamentos para diseñar conjuntamente las preguntas de evaluación de cada dimensión social y ecológica. </w:t>
      </w:r>
    </w:p>
    <w:p w14:paraId="46C968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Cuando se implantó el Timón CDDW, se creó un grupo impulsor para ayudar en la aplicación inicial de la herramienta, se impartió formación y se ofreció soporte para el funcionariado clave y las personas a cargo de las decisiones. Se usó inicialmente para decisiones del Gabinete desde 2019, y después se amplió su uso a todos los procesos decisorios desde 2021. Ahora la herramienta se usa como parte del proceso de elaboración de todas las estrategias, políticas y proyectos. Algunos ejemplos de uso del Timón son, por ejemplo, el Proyecto de Metro Mid-Cornwall o la Estrategia de Infraestructuras para Vehículos eléctricos. A principios de 2024 se realizó una revisión del uso del Timón, que concluyó con un plan de acción con recomendaciones de mejora. También se ha trabajado en el desarrollo de un método para examinar el impacto acumulado de múltiples intervenciones.</w:t>
      </w:r>
    </w:p>
    <w:p w14:paraId="26EFE6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Partiendo de este trabajo, se ha desarrollado el Tablero de Revisión del Plan Anual de Cornualles. El Plan Cornualles 2020-2050 recoge la visión común de la Cámara Conjunta de Cornualles y las Islas Scilly (CIOS). El plan se actualizó en 2023, y se adoptó un nuevo enfoque para medir los progresos, reproduciendo el esquema del Timón y basado en la Economía del Donut. El tablero muestra el desempeño del Plan de Cornualles frente a los límites sociales (un Cornualles justo y más inclusivo) y del planeta (un Cornualles más verde y limpio) del Donut. El Donut de Cornualles ofrece una instantánea del desempeño de Cornualles en cada área, partiendo de las metas fijadas en el Plan de Cornualles. El Donut del Plan de Cornualles no es una evaluación exhaustiva de Cornualles, pero sirve como punto de partida para pensar con una perspectiva de conjunto, para innovar conjuntamente y para la transformación sistémica. El liderazgo de Cornualles seguirá apoyándose en el Donut para reflexionar de manera holística sobre las ambiciones de Cornualles y para impulsar un cambio enriquecedor. </w:t>
      </w:r>
    </w:p>
    <w:p w14:paraId="3ADBC5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Principales resultados </w:t>
      </w:r>
    </w:p>
    <w:p w14:paraId="254806E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1) </w:t>
      </w:r>
      <w:r>
        <w:rPr>
          <w:rFonts w:hint="default" w:ascii="sans-serif" w:hAnsi="sans-serif" w:eastAsia="sans-serif" w:cs="sans-serif"/>
          <w:i w:val="0"/>
          <w:iCs w:val="0"/>
          <w:caps w:val="0"/>
          <w:spacing w:val="0"/>
          <w:sz w:val="32"/>
          <w:szCs w:val="32"/>
          <w:u w:val="single"/>
          <w:bdr w:val="none" w:color="auto" w:sz="0" w:space="0"/>
        </w:rPr>
        <w:fldChar w:fldCharType="begin"/>
      </w:r>
      <w:r>
        <w:rPr>
          <w:rFonts w:hint="default" w:ascii="sans-serif" w:hAnsi="sans-serif" w:eastAsia="sans-serif" w:cs="sans-serif"/>
          <w:i w:val="0"/>
          <w:iCs w:val="0"/>
          <w:caps w:val="0"/>
          <w:spacing w:val="0"/>
          <w:sz w:val="32"/>
          <w:szCs w:val="32"/>
          <w:u w:val="single"/>
          <w:bdr w:val="none" w:color="auto" w:sz="0" w:space="0"/>
        </w:rPr>
        <w:instrText xml:space="preserve"> HYPERLINK "https://www.cornwall.gov.uk/people-and-communities/equality-and-diversity/assessing-the-impact-of-our-decisions/" </w:instrText>
      </w:r>
      <w:r>
        <w:rPr>
          <w:rFonts w:hint="default" w:ascii="sans-serif" w:hAnsi="sans-serif" w:eastAsia="sans-serif" w:cs="sans-serif"/>
          <w:i w:val="0"/>
          <w:iCs w:val="0"/>
          <w:caps w:val="0"/>
          <w:spacing w:val="0"/>
          <w:sz w:val="32"/>
          <w:szCs w:val="32"/>
          <w:u w:val="single"/>
          <w:bdr w:val="none" w:color="auto" w:sz="0" w:space="0"/>
        </w:rPr>
        <w:fldChar w:fldCharType="separate"/>
      </w:r>
      <w:r>
        <w:rPr>
          <w:rStyle w:val="8"/>
          <w:rFonts w:hint="default" w:ascii="sans-serif" w:hAnsi="sans-serif" w:eastAsia="sans-serif" w:cs="sans-serif"/>
          <w:i w:val="0"/>
          <w:iCs w:val="0"/>
          <w:caps w:val="0"/>
          <w:spacing w:val="0"/>
          <w:sz w:val="32"/>
          <w:szCs w:val="32"/>
          <w:u w:val="single"/>
          <w:bdr w:val="none" w:color="auto" w:sz="0" w:space="0"/>
        </w:rPr>
        <w:t>Timón de Decisiones y Desarrollo de Cornualles </w:t>
      </w:r>
      <w:r>
        <w:rPr>
          <w:rFonts w:hint="default" w:ascii="sans-serif" w:hAnsi="sans-serif" w:eastAsia="sans-serif" w:cs="sans-serif"/>
          <w:i w:val="0"/>
          <w:iCs w:val="0"/>
          <w:caps w:val="0"/>
          <w:spacing w:val="0"/>
          <w:sz w:val="32"/>
          <w:szCs w:val="32"/>
          <w:u w:val="single"/>
          <w:bdr w:val="none" w:color="auto" w:sz="0" w:space="0"/>
        </w:rPr>
        <w:fldChar w:fldCharType="end"/>
      </w:r>
    </w:p>
    <w:p w14:paraId="1A950A6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2) </w:t>
      </w:r>
      <w:r>
        <w:rPr>
          <w:rFonts w:hint="default" w:ascii="sans-serif" w:hAnsi="sans-serif" w:eastAsia="sans-serif" w:cs="sans-serif"/>
          <w:i w:val="0"/>
          <w:iCs w:val="0"/>
          <w:caps w:val="0"/>
          <w:spacing w:val="0"/>
          <w:sz w:val="32"/>
          <w:szCs w:val="32"/>
          <w:u w:val="single"/>
          <w:bdr w:val="none" w:color="auto" w:sz="0" w:space="0"/>
        </w:rPr>
        <w:fldChar w:fldCharType="begin"/>
      </w:r>
      <w:r>
        <w:rPr>
          <w:rFonts w:hint="default" w:ascii="sans-serif" w:hAnsi="sans-serif" w:eastAsia="sans-serif" w:cs="sans-serif"/>
          <w:i w:val="0"/>
          <w:iCs w:val="0"/>
          <w:caps w:val="0"/>
          <w:spacing w:val="0"/>
          <w:sz w:val="32"/>
          <w:szCs w:val="32"/>
          <w:u w:val="single"/>
          <w:bdr w:val="none" w:color="auto" w:sz="0" w:space="0"/>
        </w:rPr>
        <w:instrText xml:space="preserve"> HYPERLINK "https://letstalk.cornwall.gov.uk/cornwall-plan" </w:instrText>
      </w:r>
      <w:r>
        <w:rPr>
          <w:rFonts w:hint="default" w:ascii="sans-serif" w:hAnsi="sans-serif" w:eastAsia="sans-serif" w:cs="sans-serif"/>
          <w:i w:val="0"/>
          <w:iCs w:val="0"/>
          <w:caps w:val="0"/>
          <w:spacing w:val="0"/>
          <w:sz w:val="32"/>
          <w:szCs w:val="32"/>
          <w:u w:val="single"/>
          <w:bdr w:val="none" w:color="auto" w:sz="0" w:space="0"/>
        </w:rPr>
        <w:fldChar w:fldCharType="separate"/>
      </w:r>
      <w:r>
        <w:rPr>
          <w:rStyle w:val="8"/>
          <w:rFonts w:hint="default" w:ascii="sans-serif" w:hAnsi="sans-serif" w:eastAsia="sans-serif" w:cs="sans-serif"/>
          <w:i w:val="0"/>
          <w:iCs w:val="0"/>
          <w:caps w:val="0"/>
          <w:spacing w:val="0"/>
          <w:sz w:val="32"/>
          <w:szCs w:val="32"/>
          <w:u w:val="single"/>
          <w:bdr w:val="none" w:color="auto" w:sz="0" w:space="0"/>
        </w:rPr>
        <w:t>Donut del Plan de Cornualles (para el plan 2020-2050) </w:t>
      </w:r>
      <w:r>
        <w:rPr>
          <w:rFonts w:hint="default" w:ascii="sans-serif" w:hAnsi="sans-serif" w:eastAsia="sans-serif" w:cs="sans-serif"/>
          <w:i w:val="0"/>
          <w:iCs w:val="0"/>
          <w:caps w:val="0"/>
          <w:spacing w:val="0"/>
          <w:sz w:val="32"/>
          <w:szCs w:val="32"/>
          <w:u w:val="single"/>
          <w:bdr w:val="none" w:color="auto" w:sz="0" w:space="0"/>
        </w:rPr>
        <w:fldChar w:fldCharType="end"/>
      </w:r>
    </w:p>
    <w:p w14:paraId="40F0824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3) </w:t>
      </w:r>
      <w:r>
        <w:rPr>
          <w:rFonts w:hint="default" w:ascii="sans-serif" w:hAnsi="sans-serif" w:eastAsia="sans-serif" w:cs="sans-serif"/>
          <w:i w:val="0"/>
          <w:iCs w:val="0"/>
          <w:caps w:val="0"/>
          <w:spacing w:val="0"/>
          <w:sz w:val="32"/>
          <w:szCs w:val="32"/>
          <w:u w:val="single"/>
          <w:bdr w:val="none" w:color="auto" w:sz="0" w:space="0"/>
        </w:rPr>
        <w:fldChar w:fldCharType="begin"/>
      </w:r>
      <w:r>
        <w:rPr>
          <w:rFonts w:hint="default" w:ascii="sans-serif" w:hAnsi="sans-serif" w:eastAsia="sans-serif" w:cs="sans-serif"/>
          <w:i w:val="0"/>
          <w:iCs w:val="0"/>
          <w:caps w:val="0"/>
          <w:spacing w:val="0"/>
          <w:sz w:val="32"/>
          <w:szCs w:val="32"/>
          <w:u w:val="single"/>
          <w:bdr w:val="none" w:color="auto" w:sz="0" w:space="0"/>
        </w:rPr>
        <w:instrText xml:space="preserve"> HYPERLINK "https://letstalk.cornwall.gov.uk/cornwall-plan/stories/cornwall-plan-annual-review-dashboard-2023" </w:instrText>
      </w:r>
      <w:r>
        <w:rPr>
          <w:rFonts w:hint="default" w:ascii="sans-serif" w:hAnsi="sans-serif" w:eastAsia="sans-serif" w:cs="sans-serif"/>
          <w:i w:val="0"/>
          <w:iCs w:val="0"/>
          <w:caps w:val="0"/>
          <w:spacing w:val="0"/>
          <w:sz w:val="32"/>
          <w:szCs w:val="32"/>
          <w:u w:val="single"/>
          <w:bdr w:val="none" w:color="auto" w:sz="0" w:space="0"/>
        </w:rPr>
        <w:fldChar w:fldCharType="separate"/>
      </w:r>
      <w:r>
        <w:rPr>
          <w:rStyle w:val="8"/>
          <w:rFonts w:hint="default" w:ascii="sans-serif" w:hAnsi="sans-serif" w:eastAsia="sans-serif" w:cs="sans-serif"/>
          <w:i w:val="0"/>
          <w:iCs w:val="0"/>
          <w:caps w:val="0"/>
          <w:spacing w:val="0"/>
          <w:sz w:val="32"/>
          <w:szCs w:val="32"/>
          <w:u w:val="single"/>
          <w:bdr w:val="none" w:color="auto" w:sz="0" w:space="0"/>
        </w:rPr>
        <w:t>Tablero de Revisión del Plan Anual de Cornualles </w:t>
      </w:r>
      <w:r>
        <w:rPr>
          <w:rFonts w:hint="default" w:ascii="sans-serif" w:hAnsi="sans-serif" w:eastAsia="sans-serif" w:cs="sans-serif"/>
          <w:i w:val="0"/>
          <w:iCs w:val="0"/>
          <w:caps w:val="0"/>
          <w:spacing w:val="0"/>
          <w:sz w:val="32"/>
          <w:szCs w:val="32"/>
          <w:u w:val="single"/>
          <w:bdr w:val="none" w:color="auto" w:sz="0" w:space="0"/>
        </w:rPr>
        <w:fldChar w:fldCharType="end"/>
      </w:r>
    </w:p>
    <w:p w14:paraId="395CA95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Principales beneficios</w:t>
      </w:r>
    </w:p>
    <w:p w14:paraId="42983F9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El Timón ha sido un éxito tremendo para definir la dirección futura del trabajo del Consejo Regional. Gracias a él se está incorporando una nueva forma de pensar, ayuda a la gente a comprender que todo está conectado, nuestras vidas y el entorno en el que vivimos, mostrando que hay soluciones intermedias entre el crecimiento social, económico y medioambiental. Está haciendo que los recursos de nuestras instancias decisorias se centren en los temas más relevantes, que ahora incluyen formalmente el medio ambiente y nuestro impacto en él. Está contribuyendo a facilitar el trabajo interdepartamental, rompiendo con la forma de pensar en compartimentos estancos. </w:t>
      </w:r>
    </w:p>
    <w:p w14:paraId="39A880A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Mayores desafíos </w:t>
      </w:r>
    </w:p>
    <w:p w14:paraId="79FF42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Se requiere bastante tiempo y recursos para desarrollar la herramienta e integrarla en los procesos de todo el consejo regional. Algunas personas lo ven como un proceso adicional, al menos inicialmente, aunque esta forma de verlo irá disminuyendo con el tiempo y el apoyo. No siempre se aplica en una fase lo bastante temprana de la planificación de proyectos y políticas, cuando realmente podría influir/guiar el planteamiento, pero de nuevo esto irá mejorando con el tiempo, a medida que se va integrando el Timón. Hay diferentes opiniones sobre los impactos que se deben moderar, por eso los debates pueden resultar difíciles y requerir mucho tiempo. </w:t>
      </w:r>
    </w:p>
    <w:p w14:paraId="674A534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sans-serif" w:hAnsi="sans-serif" w:eastAsia="sans-serif" w:cs="sans-serif"/>
          <w:i w:val="0"/>
          <w:iCs w:val="0"/>
          <w:caps w:val="0"/>
          <w:color w:val="212529"/>
          <w:spacing w:val="0"/>
          <w:u w:val="none"/>
        </w:rPr>
      </w:pPr>
    </w:p>
    <w:p w14:paraId="3E45FAF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Lecciones aprendidas </w:t>
      </w:r>
    </w:p>
    <w:p w14:paraId="38314F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Es importante que cualquiera que esté considerando integrar un proceso así en su toma de decisiones tenga claros los recursos y capacidades técnicas necesarias, y que dedique un tiempo a plantearse qué es lo asequible antes de ponerse manos a la obra. Lo que se requiere es el tiempo y el coste de desarrollo de la herramienta, así como la formación y las sesiones de familiarización con su uso. Para lidiar con este aspecto, decidimos que se impartiría una formación breve y solo a las personas que tenían más probabilidades de usar la herramienta desde el principio. Es fundamental elaborar un plan de comunicación interna para lograr que todo el mundo sea consciente de los motivos del cambio y del funcionamiento del nuevo proceso de toma de decisiones. La aceptación de la idea desde los niveles directivos del Consejo también ha sido esencial para su éxito. Tanto el equipo directivo electo como el jefe de la administración regional han defendido firmemente el uso del Timón, y eso ha contribuido a su adopción general. </w:t>
      </w:r>
    </w:p>
    <w:p w14:paraId="0C7E5E3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p>
    <w:p w14:paraId="18B929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Para saber más </w:t>
      </w:r>
    </w:p>
    <w:p w14:paraId="021AF7E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spacing w:val="0"/>
          <w:sz w:val="32"/>
          <w:szCs w:val="32"/>
          <w:u w:val="single"/>
          <w:bdr w:val="none" w:color="auto" w:sz="0" w:space="0"/>
        </w:rPr>
        <w:fldChar w:fldCharType="begin"/>
      </w:r>
      <w:r>
        <w:rPr>
          <w:rFonts w:hint="default" w:ascii="sans-serif" w:hAnsi="sans-serif" w:eastAsia="sans-serif" w:cs="sans-serif"/>
          <w:i w:val="0"/>
          <w:iCs w:val="0"/>
          <w:caps w:val="0"/>
          <w:spacing w:val="0"/>
          <w:sz w:val="32"/>
          <w:szCs w:val="32"/>
          <w:u w:val="single"/>
          <w:bdr w:val="none" w:color="auto" w:sz="0" w:space="0"/>
        </w:rPr>
        <w:instrText xml:space="preserve"> HYPERLINK "https://vimeo.com/1003662211/1ba9eef30e?share=copy" </w:instrText>
      </w:r>
      <w:r>
        <w:rPr>
          <w:rFonts w:hint="default" w:ascii="sans-serif" w:hAnsi="sans-serif" w:eastAsia="sans-serif" w:cs="sans-serif"/>
          <w:i w:val="0"/>
          <w:iCs w:val="0"/>
          <w:caps w:val="0"/>
          <w:spacing w:val="0"/>
          <w:sz w:val="32"/>
          <w:szCs w:val="32"/>
          <w:u w:val="single"/>
          <w:bdr w:val="none" w:color="auto" w:sz="0" w:space="0"/>
        </w:rPr>
        <w:fldChar w:fldCharType="separate"/>
      </w:r>
      <w:r>
        <w:rPr>
          <w:rStyle w:val="8"/>
          <w:rFonts w:hint="default" w:ascii="sans-serif" w:hAnsi="sans-serif" w:eastAsia="sans-serif" w:cs="sans-serif"/>
          <w:i w:val="0"/>
          <w:iCs w:val="0"/>
          <w:caps w:val="0"/>
          <w:spacing w:val="0"/>
          <w:sz w:val="32"/>
          <w:szCs w:val="32"/>
          <w:u w:val="single"/>
          <w:bdr w:val="none" w:color="auto" w:sz="0" w:space="0"/>
        </w:rPr>
        <w:t>Vídeo de presentación del Timón CDDW</w:t>
      </w:r>
      <w:r>
        <w:rPr>
          <w:rFonts w:hint="default" w:ascii="sans-serif" w:hAnsi="sans-serif" w:eastAsia="sans-serif" w:cs="sans-serif"/>
          <w:i w:val="0"/>
          <w:iCs w:val="0"/>
          <w:caps w:val="0"/>
          <w:spacing w:val="0"/>
          <w:sz w:val="32"/>
          <w:szCs w:val="32"/>
          <w:u w:val="single"/>
          <w:bdr w:val="none" w:color="auto" w:sz="0" w:space="0"/>
        </w:rPr>
        <w:fldChar w:fldCharType="end"/>
      </w:r>
      <w:r>
        <w:rPr>
          <w:rFonts w:hint="default" w:ascii="sans-serif" w:hAnsi="sans-serif" w:eastAsia="sans-serif" w:cs="sans-serif"/>
          <w:i w:val="0"/>
          <w:iCs w:val="0"/>
          <w:caps w:val="0"/>
          <w:color w:val="212529"/>
          <w:spacing w:val="0"/>
          <w:sz w:val="32"/>
          <w:szCs w:val="32"/>
          <w:u w:val="none"/>
          <w:bdr w:val="none" w:color="auto" w:sz="0" w:space="0"/>
        </w:rPr>
        <w:br w:type="textWrapping"/>
      </w:r>
    </w:p>
    <w:p w14:paraId="69AA7B1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960" w:lineRule="atLeast"/>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Cornwall's estória (em português brasileiro)</w:t>
      </w:r>
    </w:p>
    <w:p w14:paraId="67C972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br w:type="textWrapping"/>
      </w:r>
      <w:r>
        <w:rPr>
          <w:rStyle w:val="7"/>
          <w:rFonts w:hint="default" w:ascii="sans-serif" w:hAnsi="sans-serif" w:eastAsia="sans-serif" w:cs="sans-serif"/>
          <w:b/>
          <w:bCs/>
          <w:i w:val="0"/>
          <w:iCs w:val="0"/>
          <w:caps w:val="0"/>
          <w:color w:val="212529"/>
          <w:spacing w:val="0"/>
          <w:sz w:val="32"/>
          <w:szCs w:val="32"/>
          <w:u w:val="none"/>
          <w:bdr w:val="none" w:color="auto" w:sz="0" w:space="0"/>
        </w:rPr>
        <w:t>Cornualha foi uma das primeiras localidades a basear parte de seu trabalho na Economia Donut, em 2019. Em 2020, o local desenvolveu a Roda de Desenvolvimento e Decisão de Cornualha uma ferramenta de avaliação de impacto baseada no Donut, utilizada para analisar os impactos positivos e negativos de uma decisão ou política proposta em todo a a administração regional. Esse trabalho foi ampliado em 2023, com a criação do Painel de Revisão Anual do Plano de Cornualha, um painel interativo que visualiza o progresso de Cornualha em direção aos objetivos estabelecidos no Plano de Cornualha, liderado por parcerias. </w:t>
      </w:r>
    </w:p>
    <w:p w14:paraId="24D0C7E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Sobre o lugar</w:t>
      </w:r>
    </w:p>
    <w:p w14:paraId="38D1749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Localizada no sudoeste do Reino Unido, Cornualha é uma área predominantemente rural com uma população de 570.000 habitantes. Os nascidos em Cornualha possuem uma identidade cultural distinta e um idioma próprio. As indústrias de Cornualha dependem de seus recursos naturais: 75% de suas terras são agrícolas, e mais de 640 km de litoral com um turismo próspero, além de ambições de desenvolver parques eólicos offshore flutuantes (FLOW); a região também possui uma riqueza de metais e minerais no subsolo. Cornualha abriga o primeiro porto espacial licenciado Reino Unido, o Spaceport Cornwall.</w:t>
      </w:r>
    </w:p>
    <w:p w14:paraId="640206B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Por que a Economia Donut</w:t>
      </w:r>
    </w:p>
    <w:p w14:paraId="497829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Após a declaração de emergência climática em janeiro de 2019, o Plano de Ação pela Neutralidade de Carbono de Cornualha forneceu diretrizes claras de que avaliações ambientais deveriam ser realizadas como parte dos processos de decisão do Conselho Regional. Além disso, todas as decisões relacionadas à mitigação das mudanças climáticas deveriam também promover avanços na justiça social. O Donut foi sugerido como uma forma de alcançar esses objetivos. </w:t>
      </w:r>
    </w:p>
    <w:p w14:paraId="045A82C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p>
    <w:p w14:paraId="272173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Departamentos, organizações ou parceiros líderes</w:t>
      </w:r>
    </w:p>
    <w:p w14:paraId="04F2325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Durante o desenvolvimento da roda de decisões, líderes seniores desempenharam um papel importante como defensores do trabalho – entre eles, o Diretor Executivo, o então Líder e Responsável pela Mudança Climática. Houve amplo apoio em todo o conselho regional para essa nova abordagem de tomada de decisões. O trabalho é liderado pela equipe de Estratégia e Políticas dentro do Serviço de Estratégia e Planejamento de Negócios, com suporte de colegas da equipe de Carbono Neutro. Ele continua sendo promovido por líderes seniores e membros eleitos.</w:t>
      </w:r>
    </w:p>
    <w:p w14:paraId="0972EA5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Quem mais esteve envolvido </w:t>
      </w:r>
    </w:p>
    <w:p w14:paraId="00AF34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A Roda de Decisões foi desenvolvida internamente. A equipe principal trabalhou com membros, funcionários e parceiros mais amplos para gerar a metodologia usada na roda de decisões.</w:t>
      </w:r>
    </w:p>
    <w:p w14:paraId="436E05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Jornada até o momento</w:t>
      </w:r>
    </w:p>
    <w:p w14:paraId="4C6E27D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Após a declaração de emergência climática pelo Conselho Regional em janeiro de 2019 e a ênfase na necessidade de abordar a justiça social junto com a mitigação das mudanças climáticas, o desenvolveu-se uma ferramenta – a Roda de Decisão sobre Mudança Climática CDDW – para garantir que esses fatores fossem incorporados aos processos de tomada de decisão, com a Economia Donut como base, adaptado ao contexto local.</w:t>
      </w:r>
      <w:r>
        <w:rPr>
          <w:rFonts w:hint="default" w:ascii="sans-serif" w:hAnsi="sans-serif" w:eastAsia="sans-serif" w:cs="sans-serif"/>
          <w:i w:val="0"/>
          <w:iCs w:val="0"/>
          <w:caps w:val="0"/>
          <w:color w:val="212529"/>
          <w:spacing w:val="0"/>
          <w:sz w:val="32"/>
          <w:szCs w:val="32"/>
          <w:u w:val="none"/>
          <w:bdr w:val="none" w:color="auto" w:sz="0" w:space="0"/>
        </w:rPr>
        <w:br w:type="textWrapping"/>
      </w:r>
      <w:r>
        <w:rPr>
          <w:rFonts w:hint="default" w:ascii="sans-serif" w:hAnsi="sans-serif" w:eastAsia="sans-serif" w:cs="sans-serif"/>
          <w:i w:val="0"/>
          <w:iCs w:val="0"/>
          <w:caps w:val="0"/>
          <w:color w:val="212529"/>
          <w:spacing w:val="0"/>
          <w:sz w:val="32"/>
          <w:szCs w:val="32"/>
          <w:u w:val="none"/>
          <w:bdr w:val="none" w:color="auto" w:sz="0" w:space="0"/>
        </w:rPr>
        <w:t>Posteriormente, a ferramenta foi ampliada para incluir a Roda da Igualdade e Inclusão. </w:t>
      </w:r>
    </w:p>
    <w:p w14:paraId="357B937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A ferramenta é baseada na web e acessível a todos os funcionários do Conselho. Durante seu desenvolvimento, a equipe envolveu gestores de toda a organização para cocriar as perguntas de avaliação para cada uma das dimensões sociais e ecológicas.</w:t>
      </w:r>
    </w:p>
    <w:p w14:paraId="39A9EC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Após a introdução do CDDW, foi criado um Grupo de Direção para orientar a aplicação inicial da ferramenta, com treinamento e suporte fornecidos para os principais responsáveis por decisões do Gabinete a partir de 2019 e expandida para todos os processos de tomada de decisão em 2021. Atualmente, ela faz parte do desenvolvimento de todas as estratégias, políticas e projetos. Exemplos de onde a CDDW foi aplicada incluem o Projeto Metrô de Cornualha Central e a Estratégia de Infraestrutura de Veículos Elétricos de Cornualha. No início de 2024 foi realizada uma revisão do uso da CDDW, resultando em um plano de ação com recomendações de melhorias. Também foi desenvolvida uma metodologia para revisar o impacto cumulativo de múltiplas intervenções.</w:t>
      </w:r>
    </w:p>
    <w:p w14:paraId="5941F72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Com base nesse trabalho, foi desenvolvido o Painel de Revisão Anual do Plano de Cornualha. O Plano de Cornualha 2020-2050 é a visão compartilhada pela Câmara Conjunta de Cornualha e Ilhas de Scilly (CIOS). O plano foi atualizado em 2023, adotando uma nova abordagem para medir o progresso, modelada na CDDW e fundamentada na Economia Donut. O painel apresenta o desempenho do Plano de Cornualha em relação aos limites sociais (uma Cornualha mais justa e inclusiva) e do planeta (uma Cornualha mais verde e limpa) do Donut. O Donut de Cornualha oferece uma visão geral do desempenho da região em cada área, usando os resultados definidos no Plano de Cornualha. Não se trata de uma avaliação abrangente, mas serve como ponto de partida para reflexões sistêmicas, inovações em conjunto e transformações sistêmicas. O Donut apoia a liderança de Cornualha ao buscar reflexões holísticas sobre suas ambições e ao promover mudanças significativas.</w:t>
      </w:r>
    </w:p>
    <w:p w14:paraId="0F11CE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Resultados-chave</w:t>
      </w:r>
    </w:p>
    <w:p w14:paraId="2631A9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1) </w:t>
      </w:r>
      <w:r>
        <w:rPr>
          <w:rFonts w:hint="default" w:ascii="sans-serif" w:hAnsi="sans-serif" w:eastAsia="sans-serif" w:cs="sans-serif"/>
          <w:i w:val="0"/>
          <w:iCs w:val="0"/>
          <w:caps w:val="0"/>
          <w:spacing w:val="0"/>
          <w:sz w:val="32"/>
          <w:szCs w:val="32"/>
          <w:u w:val="single"/>
          <w:bdr w:val="none" w:color="auto" w:sz="0" w:space="0"/>
        </w:rPr>
        <w:fldChar w:fldCharType="begin"/>
      </w:r>
      <w:r>
        <w:rPr>
          <w:rFonts w:hint="default" w:ascii="sans-serif" w:hAnsi="sans-serif" w:eastAsia="sans-serif" w:cs="sans-serif"/>
          <w:i w:val="0"/>
          <w:iCs w:val="0"/>
          <w:caps w:val="0"/>
          <w:spacing w:val="0"/>
          <w:sz w:val="32"/>
          <w:szCs w:val="32"/>
          <w:u w:val="single"/>
          <w:bdr w:val="none" w:color="auto" w:sz="0" w:space="0"/>
        </w:rPr>
        <w:instrText xml:space="preserve"> HYPERLINK "https://www.cornwall.gov.uk/people-and-communities/equality-and-diversity/assessing-the-impact-of-our-decisions/" </w:instrText>
      </w:r>
      <w:r>
        <w:rPr>
          <w:rFonts w:hint="default" w:ascii="sans-serif" w:hAnsi="sans-serif" w:eastAsia="sans-serif" w:cs="sans-serif"/>
          <w:i w:val="0"/>
          <w:iCs w:val="0"/>
          <w:caps w:val="0"/>
          <w:spacing w:val="0"/>
          <w:sz w:val="32"/>
          <w:szCs w:val="32"/>
          <w:u w:val="single"/>
          <w:bdr w:val="none" w:color="auto" w:sz="0" w:space="0"/>
        </w:rPr>
        <w:fldChar w:fldCharType="separate"/>
      </w:r>
      <w:r>
        <w:rPr>
          <w:rStyle w:val="8"/>
          <w:rFonts w:hint="default" w:ascii="sans-serif" w:hAnsi="sans-serif" w:eastAsia="sans-serif" w:cs="sans-serif"/>
          <w:i w:val="0"/>
          <w:iCs w:val="0"/>
          <w:caps w:val="0"/>
          <w:spacing w:val="0"/>
          <w:sz w:val="32"/>
          <w:szCs w:val="32"/>
          <w:u w:val="single"/>
          <w:bdr w:val="none" w:color="auto" w:sz="0" w:space="0"/>
        </w:rPr>
        <w:t>Roda de Desenvolvimento e Decisão de Cornualha</w:t>
      </w:r>
      <w:r>
        <w:rPr>
          <w:rFonts w:hint="default" w:ascii="sans-serif" w:hAnsi="sans-serif" w:eastAsia="sans-serif" w:cs="sans-serif"/>
          <w:i w:val="0"/>
          <w:iCs w:val="0"/>
          <w:caps w:val="0"/>
          <w:spacing w:val="0"/>
          <w:sz w:val="32"/>
          <w:szCs w:val="32"/>
          <w:u w:val="single"/>
          <w:bdr w:val="none" w:color="auto" w:sz="0" w:space="0"/>
        </w:rPr>
        <w:fldChar w:fldCharType="end"/>
      </w:r>
    </w:p>
    <w:p w14:paraId="0EF5060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2) </w:t>
      </w:r>
      <w:r>
        <w:rPr>
          <w:rFonts w:hint="default" w:ascii="sans-serif" w:hAnsi="sans-serif" w:eastAsia="sans-serif" w:cs="sans-serif"/>
          <w:i w:val="0"/>
          <w:iCs w:val="0"/>
          <w:caps w:val="0"/>
          <w:spacing w:val="0"/>
          <w:sz w:val="32"/>
          <w:szCs w:val="32"/>
          <w:u w:val="single"/>
          <w:bdr w:val="none" w:color="auto" w:sz="0" w:space="0"/>
        </w:rPr>
        <w:fldChar w:fldCharType="begin"/>
      </w:r>
      <w:r>
        <w:rPr>
          <w:rFonts w:hint="default" w:ascii="sans-serif" w:hAnsi="sans-serif" w:eastAsia="sans-serif" w:cs="sans-serif"/>
          <w:i w:val="0"/>
          <w:iCs w:val="0"/>
          <w:caps w:val="0"/>
          <w:spacing w:val="0"/>
          <w:sz w:val="32"/>
          <w:szCs w:val="32"/>
          <w:u w:val="single"/>
          <w:bdr w:val="none" w:color="auto" w:sz="0" w:space="0"/>
        </w:rPr>
        <w:instrText xml:space="preserve"> HYPERLINK "https://letstalk.cornwall.gov.uk/cornwall-plan" </w:instrText>
      </w:r>
      <w:r>
        <w:rPr>
          <w:rFonts w:hint="default" w:ascii="sans-serif" w:hAnsi="sans-serif" w:eastAsia="sans-serif" w:cs="sans-serif"/>
          <w:i w:val="0"/>
          <w:iCs w:val="0"/>
          <w:caps w:val="0"/>
          <w:spacing w:val="0"/>
          <w:sz w:val="32"/>
          <w:szCs w:val="32"/>
          <w:u w:val="single"/>
          <w:bdr w:val="none" w:color="auto" w:sz="0" w:space="0"/>
        </w:rPr>
        <w:fldChar w:fldCharType="separate"/>
      </w:r>
      <w:r>
        <w:rPr>
          <w:rStyle w:val="8"/>
          <w:rFonts w:hint="default" w:ascii="sans-serif" w:hAnsi="sans-serif" w:eastAsia="sans-serif" w:cs="sans-serif"/>
          <w:i w:val="0"/>
          <w:iCs w:val="0"/>
          <w:caps w:val="0"/>
          <w:spacing w:val="0"/>
          <w:sz w:val="32"/>
          <w:szCs w:val="32"/>
          <w:u w:val="single"/>
          <w:bdr w:val="none" w:color="auto" w:sz="0" w:space="0"/>
        </w:rPr>
        <w:t>Donut do Plano Cornualha (para o Plano Cornualha 2020-2050) </w:t>
      </w:r>
      <w:r>
        <w:rPr>
          <w:rFonts w:hint="default" w:ascii="sans-serif" w:hAnsi="sans-serif" w:eastAsia="sans-serif" w:cs="sans-serif"/>
          <w:i w:val="0"/>
          <w:iCs w:val="0"/>
          <w:caps w:val="0"/>
          <w:spacing w:val="0"/>
          <w:sz w:val="32"/>
          <w:szCs w:val="32"/>
          <w:u w:val="single"/>
          <w:bdr w:val="none" w:color="auto" w:sz="0" w:space="0"/>
        </w:rPr>
        <w:fldChar w:fldCharType="end"/>
      </w:r>
    </w:p>
    <w:p w14:paraId="6C5BB79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3) </w:t>
      </w:r>
      <w:r>
        <w:rPr>
          <w:rFonts w:hint="default" w:ascii="sans-serif" w:hAnsi="sans-serif" w:eastAsia="sans-serif" w:cs="sans-serif"/>
          <w:i w:val="0"/>
          <w:iCs w:val="0"/>
          <w:caps w:val="0"/>
          <w:spacing w:val="0"/>
          <w:sz w:val="32"/>
          <w:szCs w:val="32"/>
          <w:u w:val="single"/>
          <w:bdr w:val="none" w:color="auto" w:sz="0" w:space="0"/>
        </w:rPr>
        <w:fldChar w:fldCharType="begin"/>
      </w:r>
      <w:r>
        <w:rPr>
          <w:rFonts w:hint="default" w:ascii="sans-serif" w:hAnsi="sans-serif" w:eastAsia="sans-serif" w:cs="sans-serif"/>
          <w:i w:val="0"/>
          <w:iCs w:val="0"/>
          <w:caps w:val="0"/>
          <w:spacing w:val="0"/>
          <w:sz w:val="32"/>
          <w:szCs w:val="32"/>
          <w:u w:val="single"/>
          <w:bdr w:val="none" w:color="auto" w:sz="0" w:space="0"/>
        </w:rPr>
        <w:instrText xml:space="preserve"> HYPERLINK "https://letstalk.cornwall.gov.uk/cornwall-plan/stories/cornwall-plan-annual-review-dashboard-2023" </w:instrText>
      </w:r>
      <w:r>
        <w:rPr>
          <w:rFonts w:hint="default" w:ascii="sans-serif" w:hAnsi="sans-serif" w:eastAsia="sans-serif" w:cs="sans-serif"/>
          <w:i w:val="0"/>
          <w:iCs w:val="0"/>
          <w:caps w:val="0"/>
          <w:spacing w:val="0"/>
          <w:sz w:val="32"/>
          <w:szCs w:val="32"/>
          <w:u w:val="single"/>
          <w:bdr w:val="none" w:color="auto" w:sz="0" w:space="0"/>
        </w:rPr>
        <w:fldChar w:fldCharType="separate"/>
      </w:r>
      <w:r>
        <w:rPr>
          <w:rStyle w:val="8"/>
          <w:rFonts w:hint="default" w:ascii="sans-serif" w:hAnsi="sans-serif" w:eastAsia="sans-serif" w:cs="sans-serif"/>
          <w:i w:val="0"/>
          <w:iCs w:val="0"/>
          <w:caps w:val="0"/>
          <w:spacing w:val="0"/>
          <w:sz w:val="32"/>
          <w:szCs w:val="32"/>
          <w:u w:val="single"/>
          <w:bdr w:val="none" w:color="auto" w:sz="0" w:space="0"/>
        </w:rPr>
        <w:t>Painel de Revisão Anual do Plano de Cornualha</w:t>
      </w:r>
      <w:r>
        <w:rPr>
          <w:rFonts w:hint="default" w:ascii="sans-serif" w:hAnsi="sans-serif" w:eastAsia="sans-serif" w:cs="sans-serif"/>
          <w:i w:val="0"/>
          <w:iCs w:val="0"/>
          <w:caps w:val="0"/>
          <w:spacing w:val="0"/>
          <w:sz w:val="32"/>
          <w:szCs w:val="32"/>
          <w:u w:val="single"/>
          <w:bdr w:val="none" w:color="auto" w:sz="0" w:space="0"/>
        </w:rPr>
        <w:fldChar w:fldCharType="end"/>
      </w:r>
    </w:p>
    <w:p w14:paraId="6E8618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Principais benefícios</w:t>
      </w:r>
    </w:p>
    <w:p w14:paraId="30D32D4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A CDDW tem sido extremamente bem-sucedida em moldar a direção futura do trabalho do Conselho Regional. Ela está incorporando uma nova forma de pensar, ajudando as pessoas a compreenderem a interconexão entre nossas vidas e o ambiente em que vivemos, demonstrando os compromissos necessários entre crescimento socia, econômico e ambiental. Está fazendo com que os recursos das estruturas de decisão se concentrem nas questões mais relevantes, que agora incluem formalmente o meio ambiente e nosso impacto sobre ele. Além disso, tem facilitado o trabalho interdepartamental, rompendo com o pensamento de forma isolada. </w:t>
      </w:r>
    </w:p>
    <w:p w14:paraId="0AFB6CA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Principais desafios </w:t>
      </w:r>
    </w:p>
    <w:p w14:paraId="713524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O desenvolvimento e a integração da ferramenta exigem tempo e recursos significativos do conselho. Alguns enxergam o processo como adicional, pelo menos inicialmente, embora essa percepção diminua com o tempo e o suporte. Nem sempre a ferramenta é adotada cedo o suficiente no planejamento de projetos e políticas para realmente influenciar ou direcionar o pensamento, mas isso tem melhorado à medida que a CDDW se torna mais integrada. Existem diferentes visões sobre os impactos, que precisam ser moderadas, o que pode ser difícil e consumir tempo.</w:t>
      </w:r>
    </w:p>
    <w:p w14:paraId="79CE44A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Lições aprendidas </w:t>
      </w:r>
    </w:p>
    <w:p w14:paraId="34F6286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É fundamental que aqueles que desejam integrar um processo como esse nos processos de tomada de decisão compreendam os recursos e habilidades técnicas necessárias e analisem o que é viável antes de começar. As demandas incluem o tempo e o custo de desenvolvimento da ferramenta, além de sessões de treinamento e familiarização. Para lidar com isso, optou-se por entregar o treinamento de forma ágil, focando inicialmente nos que provavelmente usariam a ferramenta. É essencial desenvolver um plano de comunicação interno para garantir que todos estejam cientes das razões para a mudança e de como o novo processo de decisão funcionará.</w:t>
      </w:r>
    </w:p>
    <w:p w14:paraId="5806D4D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O apoio dos níveis mais altos do Conselho Regional é indispensável para o sucesso. A adesão do diretor executivo da administração regional de Cornualha e da equipe de liderança sênior tem sido essencial para a ampla adoção da CDDW.</w:t>
      </w:r>
    </w:p>
    <w:p w14:paraId="1C24C70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Para saber mais </w:t>
      </w:r>
    </w:p>
    <w:p w14:paraId="1A25AA7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spacing w:val="0"/>
          <w:sz w:val="32"/>
          <w:szCs w:val="32"/>
          <w:u w:val="single"/>
          <w:bdr w:val="none" w:color="auto" w:sz="0" w:space="0"/>
        </w:rPr>
        <w:fldChar w:fldCharType="begin"/>
      </w:r>
      <w:r>
        <w:rPr>
          <w:rFonts w:hint="default" w:ascii="sans-serif" w:hAnsi="sans-serif" w:eastAsia="sans-serif" w:cs="sans-serif"/>
          <w:i w:val="0"/>
          <w:iCs w:val="0"/>
          <w:caps w:val="0"/>
          <w:spacing w:val="0"/>
          <w:sz w:val="32"/>
          <w:szCs w:val="32"/>
          <w:u w:val="single"/>
          <w:bdr w:val="none" w:color="auto" w:sz="0" w:space="0"/>
        </w:rPr>
        <w:instrText xml:space="preserve"> HYPERLINK "https://vimeo.com/1003662211/1ba9eef30e?share=copy" </w:instrText>
      </w:r>
      <w:r>
        <w:rPr>
          <w:rFonts w:hint="default" w:ascii="sans-serif" w:hAnsi="sans-serif" w:eastAsia="sans-serif" w:cs="sans-serif"/>
          <w:i w:val="0"/>
          <w:iCs w:val="0"/>
          <w:caps w:val="0"/>
          <w:spacing w:val="0"/>
          <w:sz w:val="32"/>
          <w:szCs w:val="32"/>
          <w:u w:val="single"/>
          <w:bdr w:val="none" w:color="auto" w:sz="0" w:space="0"/>
        </w:rPr>
        <w:fldChar w:fldCharType="separate"/>
      </w:r>
      <w:r>
        <w:rPr>
          <w:rStyle w:val="8"/>
          <w:rFonts w:hint="default" w:ascii="sans-serif" w:hAnsi="sans-serif" w:eastAsia="sans-serif" w:cs="sans-serif"/>
          <w:i w:val="0"/>
          <w:iCs w:val="0"/>
          <w:caps w:val="0"/>
          <w:spacing w:val="0"/>
          <w:sz w:val="32"/>
          <w:szCs w:val="32"/>
          <w:u w:val="single"/>
          <w:bdr w:val="none" w:color="auto" w:sz="0" w:space="0"/>
        </w:rPr>
        <w:t>Vídeo de introdução do CDDW</w:t>
      </w:r>
      <w:r>
        <w:rPr>
          <w:rFonts w:hint="default" w:ascii="sans-serif" w:hAnsi="sans-serif" w:eastAsia="sans-serif" w:cs="sans-serif"/>
          <w:i w:val="0"/>
          <w:iCs w:val="0"/>
          <w:caps w:val="0"/>
          <w:spacing w:val="0"/>
          <w:sz w:val="32"/>
          <w:szCs w:val="32"/>
          <w:u w:val="single"/>
          <w:bdr w:val="none" w:color="auto" w:sz="0" w:space="0"/>
        </w:rPr>
        <w:fldChar w:fldCharType="end"/>
      </w:r>
    </w:p>
    <w:p w14:paraId="168BA1D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p>
    <w:p w14:paraId="1AD01D1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960" w:lineRule="atLeast"/>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L'histoire de Cornwall (en français)</w:t>
      </w:r>
    </w:p>
    <w:p w14:paraId="2B1302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Style w:val="7"/>
          <w:rFonts w:hint="default" w:ascii="sans-serif" w:hAnsi="sans-serif" w:eastAsia="sans-serif" w:cs="sans-serif"/>
          <w:b/>
          <w:bCs/>
          <w:i w:val="0"/>
          <w:iCs w:val="0"/>
          <w:caps w:val="0"/>
          <w:color w:val="212529"/>
          <w:spacing w:val="0"/>
          <w:sz w:val="32"/>
          <w:szCs w:val="32"/>
          <w:u w:val="none"/>
          <w:bdr w:val="none" w:color="auto" w:sz="0" w:space="0"/>
        </w:rPr>
        <w:t>Le comté de Cornouailles a été l’un des premiers endroits à fonder ses initiatives sur la théorie du Donut, dès 2019. En 2020, la Roue de décision et de développement pour les Cornouailles a vu le jour, s’inspirant également de la théorie. Elle a été utilisée pour étudier les impacts positifs et négatifs des décisions ou politiques proposées. Cette initiative a été développée plus en profondeur en 2023, avec la création du tableau de bord d'examen annuel dans le cadre du Plan pour les Cornouailles. Cet outil interactif permet de visualiser les progrès de la région sur la voie des objectifs définis dans le Plan pour les Cornouailles basé sur un partenariat.</w:t>
      </w:r>
    </w:p>
    <w:p w14:paraId="14DB59B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À propos de l’endroit</w:t>
      </w:r>
    </w:p>
    <w:p w14:paraId="10315F1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Situées au sud-est du Royaume-Uni, les Cornouailles sont une zone principalement rurale, dont la population s’élève à 570 000 personnes. Son peuple possède une identité culturelle particulière et sa propre langue. Son activité économique repose sur ses ressources naturelles : trois-quarts de terres agricoles, un littoral accueillant un tourisme florissant et la volonté d’étendre des éoliens flottants en mer. Et dans les profondeurs, une grande richesse en métaux et en minéraux. Les Cornouailles possèdent également la première base spatiale sous licence au Royaume-Uni, Spaceport Cornwall.</w:t>
      </w:r>
    </w:p>
    <w:p w14:paraId="054500D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Pourquoi la théorie du Donut</w:t>
      </w:r>
    </w:p>
    <w:p w14:paraId="5A358B4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Après avoir prononcé l’urgence climatique en janvier 2019, le plan d'action pour la neutralité carbone des Cornouailles a clairement posé deux exigences : les études environnementales devaient être menées dans le cadre des processus de prise de décision du conseil municipal et toutes les prises de décision dans le sens de l'atténuation du changement climatique devaient aussi renforcer la justice sociale. La théorie du Donut a été désignée pour atteindre ces objectifs.</w:t>
      </w:r>
    </w:p>
    <w:p w14:paraId="7902E5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p>
    <w:p w14:paraId="087CB0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Départements, organisations ou partenaires responsables</w:t>
      </w:r>
    </w:p>
    <w:p w14:paraId="0C4C4A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Une fois la roue de décision terminée, les principaux dirigeants et dirigeantes (le représentant du conseil municipal, le président, et le responsable du dossier sur le changement climatique) se sont employés à la faire connaître. Cette nouvelle approche de prise de décision a été largement soutenue au sein du conseil municipal. L’initiative est menée par l’équipe Stratégie et politique du service Stratégie et planification opérationnelle, avec le soutien de ses collègues de l’équipe Neutralité carbone. Les dirigeants et dirigeants, et les élus et élues, ont poursuivi sa divulgation. </w:t>
      </w:r>
    </w:p>
    <w:p w14:paraId="07EB9B0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Autres figures impliquées</w:t>
      </w:r>
    </w:p>
    <w:p w14:paraId="4ED9CE9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La roue de décision a été développée en interne. L’équipe principale a travaillé avec les membres, le personnel et, plus largement, avec les partenaires et les parties prenantes à la définition de la méthodologie de la roue de décision.</w:t>
      </w:r>
    </w:p>
    <w:p w14:paraId="14E27FD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Chemin parcouru à ce jour</w:t>
      </w:r>
    </w:p>
    <w:p w14:paraId="04536A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À la suite de sa déclaration de l’état d’urgence climatique en janvier 2019 et à son virement de cap au profit d’une alliance entre justice sociale et atténuation du changement climatique, le conseil municipal a mis au point un outil, la roue de décision dans le cadre de la lutte contre le changement climatique. Elle vise à garantir l’intégration de ces facteurs environnementaux dans la prise de décision. La théorie du Donut a été placée au centre de cette démarche, en l’adaptant au contexte local. L’outil a par la suite été étendu de sorte à inclure la roue de l’égalité et de l’inclusion. </w:t>
      </w:r>
    </w:p>
    <w:p w14:paraId="02BE95E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Basé sur le Web, il est accessible à tout le personnel du conseil municipal. L’équipe à l’origine de l’outil a échangé avec les responsables de toute l’organisation pour coconcevoir le questionnaire d’évaluation de chaque volet social et écologique. </w:t>
      </w:r>
    </w:p>
    <w:p w14:paraId="15F999F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Après l’introduction de la roue de décision et de développement, un groupe directeur a été créé pour guider l’application initiale de l’outil, avec des formations et un soutien offert aux principaux cadres et responsables de la prise de décision. L’outil a d’abord été utilisé à partir de 2019 dans les décisions des cabinets, puis il a été étendu à tous les processus de prise de décision dès 2021. Il est à présent utilisé à part entière dans tous les développements de stratégies, politiques et projets. À titre d'exemple, citons le projet de métro pour la région centrale et la stratégie d’infrastructure de véhicules électriques pour l’ensemble du comté. Début 2024, l’utilisation de la roue dans le cadre de la lutte contre le changement climatique a été soumise à examen, et un plan d'action a été établi avec des recommandations pour l’améliorer. Une méthode pour examiner l’impact cumulé des différentes interventions a également été mise au point.</w:t>
      </w:r>
    </w:p>
    <w:p w14:paraId="443BC87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Le tableau de bord d'examen annuel dans le cadre du Plan pour les Cornouailles a vu le jour sur la base de ce travail. Le Plan pour les Cornouailles 2020-2050 constitue la vision partagée du comité directeur pour les Cornouailles et les îles Scilly. Il a été actualisé en 2023, et une nouvelle approche a été mise en place pour mesurer les progrès, calquée sur la roue de décision et de développement et ancrée dans la théorie du Donut. Le tableau de bord permet de suivre les résultats du Plan pour les Cornouailles du point de vue des limites sociales (un comté plus juste et inclusif) et planétaires (un comté plus écologique et propre). Le Donut des Cornouailles offre un instantané de la manière dont les Cornouailles se comportent dans chaque domaine, sur la base des résultats établis dans le Plan pour les Cornouailles. Sans représenter une évaluation complète du comté, le Donut associé au Plan pour les Cornouailles sert de point de départ vers un mode de pensée qui prend en compte l’ensemble du tableau, une innovation co-créative et une transformation systémique. La théorie du Donut permettra aux dirigeants et dirigeantes des Cornouailles de mener à bien une réflexion globale sur les ambitions du comté et de poursuivre un changement significatif. </w:t>
      </w:r>
    </w:p>
    <w:p w14:paraId="266E80A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Résultats clés </w:t>
      </w:r>
    </w:p>
    <w:p w14:paraId="2C57D3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1) </w:t>
      </w:r>
      <w:r>
        <w:rPr>
          <w:rFonts w:hint="default" w:ascii="sans-serif" w:hAnsi="sans-serif" w:eastAsia="sans-serif" w:cs="sans-serif"/>
          <w:i w:val="0"/>
          <w:iCs w:val="0"/>
          <w:caps w:val="0"/>
          <w:spacing w:val="0"/>
          <w:sz w:val="32"/>
          <w:szCs w:val="32"/>
          <w:u w:val="single"/>
          <w:bdr w:val="none" w:color="auto" w:sz="0" w:space="0"/>
        </w:rPr>
        <w:fldChar w:fldCharType="begin"/>
      </w:r>
      <w:r>
        <w:rPr>
          <w:rFonts w:hint="default" w:ascii="sans-serif" w:hAnsi="sans-serif" w:eastAsia="sans-serif" w:cs="sans-serif"/>
          <w:i w:val="0"/>
          <w:iCs w:val="0"/>
          <w:caps w:val="0"/>
          <w:spacing w:val="0"/>
          <w:sz w:val="32"/>
          <w:szCs w:val="32"/>
          <w:u w:val="single"/>
          <w:bdr w:val="none" w:color="auto" w:sz="0" w:space="0"/>
        </w:rPr>
        <w:instrText xml:space="preserve"> HYPERLINK "https://www.cornwall.gov.uk/people-and-communities/equality-and-diversity/assessing-the-impact-of-our-decisions/" </w:instrText>
      </w:r>
      <w:r>
        <w:rPr>
          <w:rFonts w:hint="default" w:ascii="sans-serif" w:hAnsi="sans-serif" w:eastAsia="sans-serif" w:cs="sans-serif"/>
          <w:i w:val="0"/>
          <w:iCs w:val="0"/>
          <w:caps w:val="0"/>
          <w:spacing w:val="0"/>
          <w:sz w:val="32"/>
          <w:szCs w:val="32"/>
          <w:u w:val="single"/>
          <w:bdr w:val="none" w:color="auto" w:sz="0" w:space="0"/>
        </w:rPr>
        <w:fldChar w:fldCharType="separate"/>
      </w:r>
      <w:r>
        <w:rPr>
          <w:rStyle w:val="8"/>
          <w:rFonts w:hint="default" w:ascii="sans-serif" w:hAnsi="sans-serif" w:eastAsia="sans-serif" w:cs="sans-serif"/>
          <w:i w:val="0"/>
          <w:iCs w:val="0"/>
          <w:caps w:val="0"/>
          <w:spacing w:val="0"/>
          <w:sz w:val="32"/>
          <w:szCs w:val="32"/>
          <w:u w:val="single"/>
          <w:bdr w:val="none" w:color="auto" w:sz="0" w:space="0"/>
        </w:rPr>
        <w:t>Roue de développement et de décision pour les Cornouailles </w:t>
      </w:r>
      <w:r>
        <w:rPr>
          <w:rFonts w:hint="default" w:ascii="sans-serif" w:hAnsi="sans-serif" w:eastAsia="sans-serif" w:cs="sans-serif"/>
          <w:i w:val="0"/>
          <w:iCs w:val="0"/>
          <w:caps w:val="0"/>
          <w:spacing w:val="0"/>
          <w:sz w:val="32"/>
          <w:szCs w:val="32"/>
          <w:u w:val="single"/>
          <w:bdr w:val="none" w:color="auto" w:sz="0" w:space="0"/>
        </w:rPr>
        <w:fldChar w:fldCharType="end"/>
      </w:r>
    </w:p>
    <w:p w14:paraId="02CD0B7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2) </w:t>
      </w:r>
      <w:r>
        <w:rPr>
          <w:rFonts w:hint="default" w:ascii="sans-serif" w:hAnsi="sans-serif" w:eastAsia="sans-serif" w:cs="sans-serif"/>
          <w:i w:val="0"/>
          <w:iCs w:val="0"/>
          <w:caps w:val="0"/>
          <w:spacing w:val="0"/>
          <w:sz w:val="32"/>
          <w:szCs w:val="32"/>
          <w:u w:val="single"/>
          <w:bdr w:val="none" w:color="auto" w:sz="0" w:space="0"/>
        </w:rPr>
        <w:fldChar w:fldCharType="begin"/>
      </w:r>
      <w:r>
        <w:rPr>
          <w:rFonts w:hint="default" w:ascii="sans-serif" w:hAnsi="sans-serif" w:eastAsia="sans-serif" w:cs="sans-serif"/>
          <w:i w:val="0"/>
          <w:iCs w:val="0"/>
          <w:caps w:val="0"/>
          <w:spacing w:val="0"/>
          <w:sz w:val="32"/>
          <w:szCs w:val="32"/>
          <w:u w:val="single"/>
          <w:bdr w:val="none" w:color="auto" w:sz="0" w:space="0"/>
        </w:rPr>
        <w:instrText xml:space="preserve"> HYPERLINK "https://letstalk.cornwall.gov.uk/cornwall-plan" </w:instrText>
      </w:r>
      <w:r>
        <w:rPr>
          <w:rFonts w:hint="default" w:ascii="sans-serif" w:hAnsi="sans-serif" w:eastAsia="sans-serif" w:cs="sans-serif"/>
          <w:i w:val="0"/>
          <w:iCs w:val="0"/>
          <w:caps w:val="0"/>
          <w:spacing w:val="0"/>
          <w:sz w:val="32"/>
          <w:szCs w:val="32"/>
          <w:u w:val="single"/>
          <w:bdr w:val="none" w:color="auto" w:sz="0" w:space="0"/>
        </w:rPr>
        <w:fldChar w:fldCharType="separate"/>
      </w:r>
      <w:r>
        <w:rPr>
          <w:rStyle w:val="8"/>
          <w:rFonts w:hint="default" w:ascii="sans-serif" w:hAnsi="sans-serif" w:eastAsia="sans-serif" w:cs="sans-serif"/>
          <w:i w:val="0"/>
          <w:iCs w:val="0"/>
          <w:caps w:val="0"/>
          <w:spacing w:val="0"/>
          <w:sz w:val="32"/>
          <w:szCs w:val="32"/>
          <w:u w:val="single"/>
          <w:bdr w:val="none" w:color="auto" w:sz="0" w:space="0"/>
        </w:rPr>
        <w:t>Le Donut associé au Plan pour les Cornouailles (Plan 2020-2050) </w:t>
      </w:r>
      <w:r>
        <w:rPr>
          <w:rFonts w:hint="default" w:ascii="sans-serif" w:hAnsi="sans-serif" w:eastAsia="sans-serif" w:cs="sans-serif"/>
          <w:i w:val="0"/>
          <w:iCs w:val="0"/>
          <w:caps w:val="0"/>
          <w:spacing w:val="0"/>
          <w:sz w:val="32"/>
          <w:szCs w:val="32"/>
          <w:u w:val="single"/>
          <w:bdr w:val="none" w:color="auto" w:sz="0" w:space="0"/>
        </w:rPr>
        <w:fldChar w:fldCharType="end"/>
      </w:r>
    </w:p>
    <w:p w14:paraId="743B2B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3) </w:t>
      </w:r>
      <w:r>
        <w:rPr>
          <w:rFonts w:hint="default" w:ascii="sans-serif" w:hAnsi="sans-serif" w:eastAsia="sans-serif" w:cs="sans-serif"/>
          <w:i w:val="0"/>
          <w:iCs w:val="0"/>
          <w:caps w:val="0"/>
          <w:spacing w:val="0"/>
          <w:sz w:val="32"/>
          <w:szCs w:val="32"/>
          <w:u w:val="single"/>
          <w:bdr w:val="none" w:color="auto" w:sz="0" w:space="0"/>
        </w:rPr>
        <w:fldChar w:fldCharType="begin"/>
      </w:r>
      <w:r>
        <w:rPr>
          <w:rFonts w:hint="default" w:ascii="sans-serif" w:hAnsi="sans-serif" w:eastAsia="sans-serif" w:cs="sans-serif"/>
          <w:i w:val="0"/>
          <w:iCs w:val="0"/>
          <w:caps w:val="0"/>
          <w:spacing w:val="0"/>
          <w:sz w:val="32"/>
          <w:szCs w:val="32"/>
          <w:u w:val="single"/>
          <w:bdr w:val="none" w:color="auto" w:sz="0" w:space="0"/>
        </w:rPr>
        <w:instrText xml:space="preserve"> HYPERLINK "https://letstalk.cornwall.gov.uk/cornwall-plan/stories/cornwall-plan-annual-review-dashboard-2023" </w:instrText>
      </w:r>
      <w:r>
        <w:rPr>
          <w:rFonts w:hint="default" w:ascii="sans-serif" w:hAnsi="sans-serif" w:eastAsia="sans-serif" w:cs="sans-serif"/>
          <w:i w:val="0"/>
          <w:iCs w:val="0"/>
          <w:caps w:val="0"/>
          <w:spacing w:val="0"/>
          <w:sz w:val="32"/>
          <w:szCs w:val="32"/>
          <w:u w:val="single"/>
          <w:bdr w:val="none" w:color="auto" w:sz="0" w:space="0"/>
        </w:rPr>
        <w:fldChar w:fldCharType="separate"/>
      </w:r>
      <w:r>
        <w:rPr>
          <w:rStyle w:val="8"/>
          <w:rFonts w:hint="default" w:ascii="sans-serif" w:hAnsi="sans-serif" w:eastAsia="sans-serif" w:cs="sans-serif"/>
          <w:i w:val="0"/>
          <w:iCs w:val="0"/>
          <w:caps w:val="0"/>
          <w:spacing w:val="0"/>
          <w:sz w:val="32"/>
          <w:szCs w:val="32"/>
          <w:u w:val="single"/>
          <w:bdr w:val="none" w:color="auto" w:sz="0" w:space="0"/>
        </w:rPr>
        <w:t>Tableau de bord d'examen annuel </w:t>
      </w:r>
      <w:r>
        <w:rPr>
          <w:rFonts w:hint="default" w:ascii="sans-serif" w:hAnsi="sans-serif" w:eastAsia="sans-serif" w:cs="sans-serif"/>
          <w:i w:val="0"/>
          <w:iCs w:val="0"/>
          <w:caps w:val="0"/>
          <w:spacing w:val="0"/>
          <w:sz w:val="32"/>
          <w:szCs w:val="32"/>
          <w:u w:val="single"/>
          <w:bdr w:val="none" w:color="auto" w:sz="0" w:space="0"/>
        </w:rPr>
        <w:fldChar w:fldCharType="end"/>
      </w:r>
    </w:p>
    <w:p w14:paraId="771E792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Avantages clés</w:t>
      </w:r>
    </w:p>
    <w:p w14:paraId="0FF244A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La roue de décision et de développement a été extrêmement efficace pour indiquer au conseil municipal la direction dans laquelle cibler ces efforts. Elle intègre de nouveaux modes de réflexion, en aidant le public à comprendre à quel point nos vies dépendent de l'environnement dans lequel nous vivons, en montrant comment rééquilibrer la génération de croissance sociale, économique et environnementale. Elle destine les ressources de nos structures de prise de décision aux enjeux les plus décisifs, parmi lesquels figurent désormais officiellement l’environnement et notre impact sur celui-ci. Cela aide à faciliter le travail entre les différents services, en décloisonnant la réflexion. </w:t>
      </w:r>
    </w:p>
    <w:p w14:paraId="0E4F25C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Principaux défis </w:t>
      </w:r>
    </w:p>
    <w:p w14:paraId="1BE6DF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Les ressources considérables et le temps nécessaires à développer et intégrer l’outil au sein du conseil municipal. Le processus est perçu par certains et certaines comme superflu, du moins au début, mais cette perception est corrigée au fil du temps grâce au travail d’information. L’outil n'est pas toujours adopté suffisamment tôt dans la planification du projet et des politiques pour influencer/encourager véritablement la réception, mais cela s’améliore au fil du temps et avec l’intégration de la roue. Il existe différents points de vue sur les impacts qui demandent à être modérés, ce qui peut être difficile et chronophage. </w:t>
      </w:r>
    </w:p>
    <w:p w14:paraId="0662CB4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Enseignements tirés </w:t>
      </w:r>
    </w:p>
    <w:p w14:paraId="05450C9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sz w:val="32"/>
          <w:szCs w:val="32"/>
          <w:u w:val="none"/>
          <w:bdr w:val="none" w:color="auto" w:sz="0" w:space="0"/>
        </w:rPr>
        <w:t>Il est important que quiconque envisage d’intégrer ce processus à la prise de décision comprenne les ressources et les compétences techniques demandées et prenne le temps de réfléchir à ce qui est réalisable avant le lancement. Les exigences incluent le temps et le coût du développement de l’outil, ainsi que les séances de formation et de familiarisation. Pour y faire face, nous avons décidé de fournir la formation de manière souple, en nous concentrant sur les personnes les plus susceptibles d’utiliser l’outil au départ. Il est vital de développer des plans de communication internes pour que tout le monde connaisse les raisons du changement et le fonctionnement du nouveau processus de décision. Pour que le succès soit au rendez-vous, il est également nécessaire que la haute direction du conseil municipal adhère au concept. Le président et les hauts cadres du conseil municipal étant adeptes de l’utilisation de la roue, son adoption n’en a été que plus facile. </w:t>
      </w:r>
    </w:p>
    <w:p w14:paraId="4EF2B1F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p>
    <w:p w14:paraId="0291B86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Pour en savoir plus </w:t>
      </w:r>
    </w:p>
    <w:p w14:paraId="5CB5262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spacing w:val="0"/>
          <w:sz w:val="32"/>
          <w:szCs w:val="32"/>
          <w:u w:val="single"/>
          <w:bdr w:val="none" w:color="auto" w:sz="0" w:space="0"/>
        </w:rPr>
        <w:fldChar w:fldCharType="begin"/>
      </w:r>
      <w:r>
        <w:rPr>
          <w:rFonts w:hint="default" w:ascii="sans-serif" w:hAnsi="sans-serif" w:eastAsia="sans-serif" w:cs="sans-serif"/>
          <w:i w:val="0"/>
          <w:iCs w:val="0"/>
          <w:caps w:val="0"/>
          <w:spacing w:val="0"/>
          <w:sz w:val="32"/>
          <w:szCs w:val="32"/>
          <w:u w:val="single"/>
          <w:bdr w:val="none" w:color="auto" w:sz="0" w:space="0"/>
        </w:rPr>
        <w:instrText xml:space="preserve"> HYPERLINK "https://vimeo.com/1003662211/1ba9eef30e?share=copy" </w:instrText>
      </w:r>
      <w:r>
        <w:rPr>
          <w:rFonts w:hint="default" w:ascii="sans-serif" w:hAnsi="sans-serif" w:eastAsia="sans-serif" w:cs="sans-serif"/>
          <w:i w:val="0"/>
          <w:iCs w:val="0"/>
          <w:caps w:val="0"/>
          <w:spacing w:val="0"/>
          <w:sz w:val="32"/>
          <w:szCs w:val="32"/>
          <w:u w:val="single"/>
          <w:bdr w:val="none" w:color="auto" w:sz="0" w:space="0"/>
        </w:rPr>
        <w:fldChar w:fldCharType="separate"/>
      </w:r>
      <w:r>
        <w:rPr>
          <w:rStyle w:val="8"/>
          <w:rFonts w:hint="default" w:ascii="sans-serif" w:hAnsi="sans-serif" w:eastAsia="sans-serif" w:cs="sans-serif"/>
          <w:i w:val="0"/>
          <w:iCs w:val="0"/>
          <w:caps w:val="0"/>
          <w:spacing w:val="0"/>
          <w:sz w:val="32"/>
          <w:szCs w:val="32"/>
          <w:u w:val="single"/>
          <w:bdr w:val="none" w:color="auto" w:sz="0" w:space="0"/>
        </w:rPr>
        <w:t>Vidéo d’introduction à la roue de décision et de développement</w:t>
      </w:r>
      <w:r>
        <w:rPr>
          <w:rFonts w:hint="default" w:ascii="sans-serif" w:hAnsi="sans-serif" w:eastAsia="sans-serif" w:cs="sans-serif"/>
          <w:i w:val="0"/>
          <w:iCs w:val="0"/>
          <w:caps w:val="0"/>
          <w:spacing w:val="0"/>
          <w:sz w:val="32"/>
          <w:szCs w:val="32"/>
          <w:u w:val="single"/>
          <w:bdr w:val="none" w:color="auto" w:sz="0" w:space="0"/>
        </w:rPr>
        <w:fldChar w:fldCharType="end"/>
      </w:r>
    </w:p>
    <w:p w14:paraId="18DB0A8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p>
    <w:p w14:paraId="55D3BEE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960" w:lineRule="atLeast"/>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Photos and images</w:t>
      </w:r>
    </w:p>
    <w:p w14:paraId="24200FEF">
      <w:pPr>
        <w:keepNext w:val="0"/>
        <w:keepLines w:val="0"/>
        <w:widowControl/>
        <w:suppressLineNumbers w:val="0"/>
        <w:jc w:val="left"/>
      </w:pPr>
      <w:r>
        <w:rPr>
          <w:rFonts w:ascii="sans-serif" w:hAnsi="sans-serif" w:eastAsia="sans-serif" w:cs="sans-serif"/>
          <w:i w:val="0"/>
          <w:iCs w:val="0"/>
          <w:caps w:val="0"/>
          <w:color w:val="212529"/>
          <w:spacing w:val="0"/>
          <w:kern w:val="0"/>
          <w:sz w:val="32"/>
          <w:szCs w:val="32"/>
          <w:u w:val="none"/>
          <w:bdr w:val="single" w:color="FFFFFF" w:sz="18" w:space="0"/>
          <w:lang w:val="en-US" w:eastAsia="zh-CN" w:bidi="ar"/>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3F69B1CD">
      <w:pPr>
        <w:rPr>
          <w:rFonts w:hint="default" w:eastAsiaTheme="minorEastAsia"/>
          <w:lang w:val="en-US" w:eastAsia="zh-CN"/>
        </w:rPr>
      </w:pPr>
    </w:p>
    <w:p w14:paraId="3D7A7655">
      <w:pPr>
        <w:bidi w:val="0"/>
        <w:rPr>
          <w:rFonts w:hint="default" w:asciiTheme="minorHAnsi" w:hAnsiTheme="minorHAnsi" w:eastAsiaTheme="minorEastAsia" w:cstheme="minorBidi"/>
          <w:kern w:val="2"/>
          <w:sz w:val="21"/>
          <w:szCs w:val="24"/>
          <w:lang w:val="en-US" w:eastAsia="zh-CN" w:bidi="ar-SA"/>
        </w:rPr>
      </w:pPr>
    </w:p>
    <w:p w14:paraId="57197DC4">
      <w:pPr>
        <w:bidi w:val="0"/>
        <w:rPr>
          <w:rFonts w:hint="default"/>
          <w:lang w:val="en-US" w:eastAsia="zh-CN"/>
        </w:rPr>
      </w:pPr>
    </w:p>
    <w:p w14:paraId="033FB348">
      <w:pPr>
        <w:tabs>
          <w:tab w:val="left" w:pos="1318"/>
        </w:tabs>
        <w:bidi w:val="0"/>
        <w:jc w:val="left"/>
        <w:rPr>
          <w:rFonts w:hint="default"/>
          <w:lang w:val="en-US" w:eastAsia="zh-CN"/>
        </w:rPr>
      </w:pPr>
      <w:r>
        <w:rPr>
          <w:rFonts w:hint="eastAsia"/>
          <w:lang w:val="en-US" w:eastAsia="zh-CN"/>
        </w:rPr>
        <w:tab/>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sans-serif">
    <w:altName w:val="苹方-简"/>
    <w:panose1 w:val="00000000000000000000"/>
    <w:charset w:val="00"/>
    <w:family w:val="auto"/>
    <w:pitch w:val="default"/>
    <w:sig w:usb0="00000000" w:usb1="00000000" w:usb2="00000000" w:usb3="00000000" w:csb0="00000000" w:csb1="00000000"/>
  </w:font>
  <w:font w:name="苹方-简">
    <w:altName w:val="Times New Roman"/>
    <w:panose1 w:val="020B0600000000000000"/>
    <w:charset w:val="00"/>
    <w:family w:val="auto"/>
    <w:pitch w:val="default"/>
    <w:sig w:usb0="A00002FF" w:usb1="7ACFFDFB" w:usb2="00000017"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FCB358"/>
    <w:rsid w:val="FFFCB3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0</Words>
  <Characters>0</Characters>
  <Lines>0</Lines>
  <Paragraphs>0</Paragraphs>
  <TotalTime>0</TotalTime>
  <ScaleCrop>false</ScaleCrop>
  <LinksUpToDate>false</LinksUpToDate>
  <CharactersWithSpaces>0</CharactersWithSpaces>
  <Application>WPS Office_12.1.24031.24031_F1E327BC-269C-435d-A152-05C5408002CA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2026-05-01T23:43:00Z</dcterms:created>
  <dc:creator>。</dc:creator>
  <cp:lastModifiedBy>。</cp:lastModifiedBy>
  <dcterms:modified xsi:type="dcterms:W3CDTF">2026-05-01T23:45:02Z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2052-12.1.24031.24031</vt:lpwstr>
  </property>
  <property fmtid="{D5CDD505-2E9C-101B-9397-08002B2CF9AE}" pid="3" name="ICV">
    <vt:lpwstr>243929EBF9BB025528CAF469BA4CB003_41</vt:lpwstr>
  </property>
</Properties>
</file>